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media/logoTF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pStyle ns0:val="Title"/>
      </ns0:pPr>
      <ns0:r>
        <ns0:t xml:space="preserve">TÀI LIỆU CHUYÊN ĐỀ WRITING</ns0:t>
      </ns0:r>
    </ns0:p>
    <ns0:p>
      <ns0:pPr>
        <ns0:pStyle ns0:val="CDCollectionTitle"/>
      </ns0:pPr>
      <ns0:r>
        <ns0:t xml:space="preserve">TÀI LIỆU CHUYÊN ĐỀ WRITING</ns0:t>
      </ns0:r>
    </ns0:p>
    <ns0:p>
      <ns0:pPr>
        <ns0:pStyle ns0:val="CDPrompt"/>
      </ns0:pPr>
      <ns0:r>
        <ns0:t xml:space="preserve">The line graph gives information about the number of international conferences in three cities.</ns0:t>
      </ns0:r>
    </ns0:p>
    <ns0:p>
      <ns0:pPr>
        <ns0:pStyle ns0:val="BodyText"/>
      </ns0:pPr>
      <ns0:r>
        <ns0:t xml:space="preserve">Summarise the information by selecting and reporting the main features, and make comparisons where relevant.</ns0:t>
      </ns0:r>
    </ns0:p>
    <ns0:bookmarkStart ns0:id="17" ns0:name="Xb9019fe01f85a588781cc1541b53ba836d04fa4"/>
    <ns0:p>
      <ns0:pPr>
        <ns0:pStyle ns0:val="Heading2"/>
      </ns0:pPr>
      <ns0:r>
        <ns0:t xml:space="preserve">Phần I. Phân tích đề bài và xây dựng chiến lược</ns0:t>
      </ns0:r>
    </ns0:p>
    <ns0:bookmarkStart ns0:id="12" ns0:name="sự-khác-biệt-giữa-band-6-và-band-7"/>
    <ns0:p>
      <ns0:pPr>
        <ns0:pStyle ns0:val="Heading3"/>
      </ns0:pPr>
      <ns0:r>
        <ns0:t xml:space="preserve">Sự khác biệt giữa Band 6 và Band 7</ns0:t>
      </ns0:r>
    </ns0:p>
    <ns0:p>
      <ns0:pPr>
        <ns0:pStyle ns0:val="CDStep"/>
      </ns0:pPr>
      <ns0:r>
        <ns0:t xml:space="preserve">Để bứt phá từ Band 6 lên Band 7, học sinh không chỉ cần viết đúng mà còn phải viết hay, linh hoạt và có độ chính xác cao:</ns0:t>
      </ns0:r>
    </ns0:p>
    <ns0:p>
      <ns0:pPr>
        <ns0:pStyle ns0:val="Compact"/>
        <ns0:numPr>
          <ns0:ilvl ns0:val="0"/>
          <ns0:numId ns0:val="1001"/>
        </ns0:numPr>
      </ns0:pPr>
      <ns0:r>
        <ns0:rPr>
          <ns0:rStyle ns0:val="CDBlue"/>
          <ns0:b/>
          <ns0:bCs/>
        </ns0:rPr>
        <ns0:t xml:space="preserve">Task Achievement (Trả lời đúng trọng tâm)</ns0:t>
      </ns0:r>
      <ns0:r>
        <ns0:rPr>
          <ns0:b/>
          <ns0:bCs/>
        </ns0:rPr>
        <ns0:t xml:space="preserve">:</ns0:t>
      </ns0:r>
    </ns0:p>
    <ns0:p>
      <ns0:pPr>
        <ns0:pStyle ns0:val="Compact"/>
        <ns0:numPr>
          <ns0:ilvl ns0:val="1"/>
          <ns0:numId ns0:val="1002"/>
        </ns0:numPr>
      </ns0:pPr>
      <ns0:r>
        <ns0:rPr>
          <ns0:b/>
          <ns0:bCs/>
        </ns0:rPr>
        <ns0:t xml:space="preserve">Band 6:</ns0:t>
      </ns0:r>
      <ns0:r>
        <ns0:t xml:space="preserve"> </ns0:t>
      </ns0:r>
      <ns0:r>
        <ns0:t xml:space="preserve">Có Overview, chọn lọc được số liệu chính nhưng đôi khi việc làm nổi bật các xu hướng chưa thực sự sắc bén.</ns0:t>
      </ns0:r>
    </ns0:p>
    <ns0:p>
      <ns0:pPr>
        <ns0:pStyle ns0:val="Compact"/>
        <ns0:numPr>
          <ns0:ilvl ns0:val="1"/>
          <ns0:numId ns0:val="1002"/>
        </ns0:numPr>
      </ns0:pPr>
      <ns0:r>
        <ns0:rPr>
          <ns0:b/>
          <ns0:bCs/>
        </ns0:rPr>
        <ns0:t xml:space="preserve">Band 7:</ns0:t>
      </ns0:r>
      <ns0:r>
        <ns0:t xml:space="preserve"> </ns0:t>
      </ns0:r>
      <ns0:r>
        <ns0:t xml:space="preserve">Trình bày một</ns0:t>
      </ns0:r>
      <ns0:r>
        <ns0:t xml:space="preserve"> </ns0:t>
      </ns0:r>
      <ns0:r>
        <ns0:rPr>
          <ns0:b/>
          <ns0:bCs/>
        </ns0:rPr>
        <ns0:t xml:space="preserve">Overview cực kỳ rõ ràng</ns0:t>
      </ns0:r>
      <ns0:r>
        <ns0:t xml:space="preserve">. Các xu hướng chính và sự khác biệt được xác định và minh họa bằng số liệu chính xác, logic, không có thông tin thừa.</ns0:t>
      </ns0:r>
    </ns0:p>
    <ns0:p>
      <ns0:pPr>
        <ns0:pStyle ns0:val="Compact"/>
        <ns0:numPr>
          <ns0:ilvl ns0:val="0"/>
          <ns0:numId ns0:val="1001"/>
        </ns0:numPr>
      </ns0:pPr>
      <ns0:r>
        <ns0:rPr>
          <ns0:rStyle ns0:val="CDBlue"/>
          <ns0:b/>
          <ns0:bCs/>
        </ns0:rPr>
        <ns0:t xml:space="preserve">Coherence &amp; Cohesion (Độ mạch lạc và liên kết)</ns0:t>
      </ns0:r>
      <ns0:r>
        <ns0:rPr>
          <ns0:b/>
          <ns0:bCs/>
        </ns0:rPr>
        <ns0:t xml:space="preserve">:</ns0:t>
      </ns0:r>
    </ns0:p>
    <ns0:p>
      <ns0:pPr>
        <ns0:pStyle ns0:val="Compact"/>
        <ns0:numPr>
          <ns0:ilvl ns0:val="1"/>
          <ns0:numId ns0:val="1003"/>
        </ns0:numPr>
      </ns0:pPr>
      <ns0:r>
        <ns0:rPr>
          <ns0:b/>
          <ns0:bCs/>
        </ns0:rPr>
        <ns0:t xml:space="preserve">Band 6:</ns0:t>
      </ns0:r>
      <ns0:r>
        <ns0:t xml:space="preserve"> </ns0:t>
      </ns0:r>
      <ns0:r>
        <ns0:t xml:space="preserve">Có sự tiến triển của bài viết, nhưng việc dùng từ nối đôi khi còn máy móc, lặp lại.</ns0:t>
      </ns0:r>
    </ns0:p>
    <ns0:p>
      <ns0:pPr>
        <ns0:pStyle ns0:val="Compact"/>
        <ns0:numPr>
          <ns0:ilvl ns0:val="1"/>
          <ns0:numId ns0:val="1003"/>
        </ns0:numPr>
      </ns0:pPr>
      <ns0:r>
        <ns0:rPr>
          <ns0:b/>
          <ns0:bCs/>
        </ns0:rPr>
        <ns0:t xml:space="preserve">Band 7:</ns0:t>
      </ns0:r>
      <ns0:r>
        <ns0:t xml:space="preserve"> </ns0:t>
      </ns0:r>
      <ns0:r>
        <ns0:t xml:space="preserve">Tổ chức thông tin logic tuyệt đối. Sử dụng đa dạng và</ns0:t>
      </ns0:r>
      <ns0:r>
        <ns0:t xml:space="preserve"> </ns0:t>
      </ns0:r>
      <ns0:r>
        <ns0:rPr>
          <ns0:b/>
          <ns0:bCs/>
        </ns0:rPr>
        <ns0:t xml:space="preserve">linh hoạt</ns0:t>
      </ns0:r>
      <ns0:r>
        <ns0:t xml:space="preserve"> </ns0:t>
      </ns0:r>
      <ns0:r>
        <ns0:t xml:space="preserve">các phương tiện liên kết, đặc biệt là đại từ thay thế (</ns0:t>
      </ns0:r>
      <ns0:r>
        <ns0:rPr>
          <ns0:i/>
          <ns0:iCs/>
        </ns0:rPr>
        <ns0:t xml:space="preserve">this figure, the former, the latter</ns0:t>
      </ns0:r>
      <ns0:r>
        <ns0:t xml:space="preserve">).</ns0:t>
      </ns0:r>
    </ns0:p>
    <ns0:p>
      <ns0:pPr>
        <ns0:pStyle ns0:val="Compact"/>
        <ns0:numPr>
          <ns0:ilvl ns0:val="0"/>
          <ns0:numId ns0:val="1001"/>
        </ns0:numPr>
      </ns0:pPr>
      <ns0:r>
        <ns0:rPr>
          <ns0:rStyle ns0:val="CDBlue"/>
          <ns0:b/>
          <ns0:bCs/>
        </ns0:rPr>
        <ns0:t xml:space="preserve">Lexical Resource (Từ vựng)</ns0:t>
      </ns0:r>
      <ns0:r>
        <ns0:rPr>
          <ns0:b/>
          <ns0:bCs/>
        </ns0:rPr>
        <ns0:t xml:space="preserve">:</ns0:t>
      </ns0:r>
    </ns0:p>
    <ns0:p>
      <ns0:pPr>
        <ns0:pStyle ns0:val="Compact"/>
        <ns0:numPr>
          <ns0:ilvl ns0:val="1"/>
          <ns0:numId ns0:val="1004"/>
        </ns0:numPr>
      </ns0:pPr>
      <ns0:r>
        <ns0:rPr>
          <ns0:b/>
          <ns0:bCs/>
        </ns0:rPr>
        <ns0:t xml:space="preserve">Band 6:</ns0:t>
      </ns0:r>
      <ns0:r>
        <ns0:t xml:space="preserve"> </ns0:t>
      </ns0:r>
      <ns0:r>
        <ns0:t xml:space="preserve">Đủ từ vựng để miêu tả, nhưng thiếu sự đa dạng.</ns0:t>
      </ns0:r>
    </ns0:p>
    <ns0:p>
      <ns0:pPr>
        <ns0:pStyle ns0:val="Compact"/>
        <ns0:numPr>
          <ns0:ilvl ns0:val="1"/>
          <ns0:numId ns0:val="1004"/>
        </ns0:numPr>
      </ns0:pPr>
      <ns0:r>
        <ns0:rPr>
          <ns0:b/>
          <ns0:bCs/>
        </ns0:rPr>
        <ns0:t xml:space="preserve">Band 7:</ns0:t>
      </ns0:r>
      <ns0:r>
        <ns0:t xml:space="preserve"> </ns0:t>
      </ns0:r>
      <ns0:r>
        <ns0:t xml:space="preserve">Sử dụng từ vựng phong phú, chính xác cao. Thể hiện khả năng dùng</ns0:t>
      </ns0:r>
      <ns0:r>
        <ns0:t xml:space="preserve"> </ns0:t>
      </ns0:r>
      <ns0:r>
        <ns0:rPr>
          <ns0:b/>
          <ns0:bCs/>
        </ns0:rPr>
        <ns0:t xml:space="preserve">từ vựng ít phổ biến</ns0:t>
      </ns0:r>
      <ns0:r>
        <ns0:t xml:space="preserve"> </ns0:t>
      </ns0:r>
      <ns0:r>
        <ns0:t xml:space="preserve">và có nhận thức về</ns0:t>
      </ns0:r>
      <ns0:r>
        <ns0:t xml:space="preserve"> </ns0:t>
      </ns0:r>
      <ns0:r>
        <ns0:rPr>
          <ns0:b/>
          <ns0:bCs/>
        </ns0:rPr>
        <ns0:t xml:space="preserve">collocation</ns0:t>
      </ns0:r>
      <ns0:r>
        <ns0:t xml:space="preserve">.</ns0:t>
      </ns0:r>
    </ns0:p>
    <ns0:p>
      <ns0:pPr>
        <ns0:pStyle ns0:val="Compact"/>
        <ns0:numPr>
          <ns0:ilvl ns0:val="0"/>
          <ns0:numId ns0:val="1001"/>
        </ns0:numPr>
      </ns0:pPr>
      <ns0:r>
        <ns0:rPr>
          <ns0:rStyle ns0:val="CDBlue"/>
          <ns0:b/>
          <ns0:bCs/>
        </ns0:rPr>
        <ns0:t xml:space="preserve">Grammatical Range &amp; Accuracy (Ngữ pháp)</ns0:t>
      </ns0:r>
      <ns0:r>
        <ns0:rPr>
          <ns0:b/>
          <ns0:bCs/>
        </ns0:rPr>
        <ns0:t xml:space="preserve">:</ns0:t>
      </ns0:r>
    </ns0:p>
    <ns0:p>
      <ns0:pPr>
        <ns0:pStyle ns0:val="Compact"/>
        <ns0:numPr>
          <ns0:ilvl ns0:val="1"/>
          <ns0:numId ns0:val="1005"/>
        </ns0:numPr>
      </ns0:pPr>
      <ns0:r>
        <ns0:rPr>
          <ns0:b/>
          <ns0:bCs/>
        </ns0:rPr>
        <ns0:t xml:space="preserve">Band 6:</ns0:t>
      </ns0:r>
      <ns0:r>
        <ns0:t xml:space="preserve"> </ns0:t>
      </ns0:r>
      <ns0:r>
        <ns0:t xml:space="preserve">Dùng xen kẽ câu đơn và phức, nhưng câu phức thường mắc lỗi.</ns0:t>
      </ns0:r>
    </ns0:p>
    <ns0:p>
      <ns0:pPr>
        <ns0:pStyle ns0:val="Compact"/>
        <ns0:numPr>
          <ns0:ilvl ns0:val="1"/>
          <ns0:numId ns0:val="1005"/>
        </ns0:numPr>
      </ns0:pPr>
      <ns0:r>
        <ns0:rPr>
          <ns0:b/>
          <ns0:bCs/>
        </ns0:rPr>
        <ns0:t xml:space="preserve">Band 7:</ns0:t>
      </ns0:r>
      <ns0:r>
        <ns0:t xml:space="preserve"> </ns0:t>
      </ns0:r>
      <ns0:r>
        <ns0:t xml:space="preserve">Sử dụng</ns0:t>
      </ns0:r>
      <ns0:r>
        <ns0:t xml:space="preserve"> </ns0:t>
      </ns0:r>
      <ns0:r>
        <ns0:rPr>
          <ns0:b/>
          <ns0:bCs/>
        </ns0:rPr>
        <ns0:t xml:space="preserve">đa dạng các cấu trúc câu phức</ns0:t>
      </ns0:r>
      <ns0:r>
        <ns0:t xml:space="preserve"> </ns0:t>
      </ns0:r>
      <ns0:r>
        <ns0:t xml:space="preserve">với độ linh hoạt cao. Tần suất</ns0:t>
      </ns0:r>
      <ns0:r>
        <ns0:t xml:space="preserve"> </ns0:t>
      </ns0:r>
      <ns0:r>
        <ns0:rPr>
          <ns0:b/>
          <ns0:bCs/>
        </ns0:rPr>
        <ns0:t xml:space="preserve">câu hoàn toàn không có lỗi</ns0:t>
      </ns0:r>
      <ns0:r>
        <ns0:t xml:space="preserve"> </ns0:t>
      </ns0:r>
      <ns0:r>
        <ns0:t xml:space="preserve">xuất hiện nhiều.</ns0:t>
      </ns0:r>
    </ns0:p>
    <ns0:bookmarkEnd ns0:id="12"/>
    <ns0:bookmarkStart ns0:id="13" ns0:name="bước-1-giải-mã-biểu-đồ-data-decoding"/>
    <ns0:p>
      <ns0:pPr>
        <ns0:pStyle ns0:val="Heading3"/>
      </ns0:pPr>
      <ns0:r>
        <ns0:t xml:space="preserve">Bước 1: Giải mã Biểu đồ (Data Decoding)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b/>
          <ns0:bCs/>
        </ns0:rPr>
        <ns0:t xml:space="preserve">Loại biểu đồ:</ns0:t>
      </ns0:r>
      <ns0:r>
        <ns0:t xml:space="preserve"> </ns0:t>
      </ns0:r>
      <ns0:r>
        <ns0:t xml:space="preserve">Biểu đồ đường (Dynamic Line Graph).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b/>
          <ns0:bCs/>
        </ns0:rPr>
        <ns0:t xml:space="preserve">Đối tượng:</ns0:t>
      </ns0:r>
      <ns0:r>
        <ns0:t xml:space="preserve"> </ns0:t>
      </ns0:r>
      <ns0:r>
        <ns0:t xml:space="preserve">3 thành phố (City A, City B, City C).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b/>
          <ns0:bCs/>
        </ns0:rPr>
        <ns0:t xml:space="preserve">Thời gian:</ns0:t>
      </ns0:r>
      <ns0:r>
        <ns0:t xml:space="preserve"> </ns0:t>
      </ns0:r>
      <ns0:r>
        <ns0:t xml:space="preserve">1965 – 2010 (Quá khứ → Dùng 100% thì Quá khứ đơn).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b/>
          <ns0:bCs/>
        </ns0:rPr>
        <ns0:t xml:space="preserve">Đơn vị tính:</ns0:t>
      </ns0:r>
      <ns0:r>
        <ns0:t xml:space="preserve"> </ns0:t>
      </ns0:r>
      <ns0:r>
        <ns0:t xml:space="preserve">Số lượng hội nghị (The number of conferences).</ns0:t>
      </ns0:r>
    </ns0:p>
    <ns0:bookmarkEnd ns0:id="13"/>
    <ns0:bookmarkStart ns0:id="14" ns0:name="bước-2-phân-tích-số-liệu-tìm-xu-hướng"/>
    <ns0:p>
      <ns0:pPr>
        <ns0:pStyle ns0:val="Heading3"/>
      </ns0:pPr>
      <ns0:r>
        <ns0:t xml:space="preserve">Bước 2: Phân tích số liệu &amp; Tìm xu hướng</ns0:t>
      </ns0:r>
    </ns0:p>
    <ns0:p>
      <ns0:pPr>
        <ns0:pStyle ns0:val="Compact"/>
        <ns0:numPr>
          <ns0:ilvl ns0:val="0"/>
          <ns0:numId ns0:val="1007"/>
        </ns0:numPr>
      </ns0:pPr>
      <ns0:r>
        <ns0:rPr>
          <ns0:b/>
          <ns0:bCs/>
        </ns0:rPr>
        <ns0:t xml:space="preserve">City A:</ns0:t>
      </ns0:r>
      <ns0:r>
        <ns0:t xml:space="preserve"> </ns0:t>
      </ns0:r>
      <ns0:r>
        <ns0:t xml:space="preserve">Xu hướng giảm (từ vị trí cao nhất 35 xuống thấp nhất 20).</ns0:t>
      </ns0:r>
    </ns0:p>
    <ns0:p>
      <ns0:pPr>
        <ns0:pStyle ns0:val="Compact"/>
        <ns0:numPr>
          <ns0:ilvl ns0:val="0"/>
          <ns0:numId ns0:val="1007"/>
        </ns0:numPr>
      </ns0:pPr>
      <ns0:r>
        <ns0:rPr>
          <ns0:b/>
          <ns0:bCs/>
        </ns0:rPr>
        <ns0:t xml:space="preserve">City B:</ns0:t>
      </ns0:r>
      <ns0:r>
        <ns0:t xml:space="preserve"> </ns0:t>
      </ns0:r>
      <ns0:r>
        <ns0:t xml:space="preserve">Tương đối ổn định, dao động nhẹ (khoảng 25–31).</ns0:t>
      </ns0:r>
    </ns0:p>
    <ns0:p>
      <ns0:pPr>
        <ns0:pStyle ns0:val="Compact"/>
        <ns0:numPr>
          <ns0:ilvl ns0:val="0"/>
          <ns0:numId ns0:val="1007"/>
        </ns0:numPr>
      </ns0:pPr>
      <ns0:r>
        <ns0:rPr>
          <ns0:b/>
          <ns0:bCs/>
        </ns0:rPr>
        <ns0:t xml:space="preserve">City C:</ns0:t>
      </ns0:r>
      <ns0:r>
        <ns0:t xml:space="preserve"> </ns0:t>
      </ns0:r>
      <ns0:r>
        <ns0:t xml:space="preserve">Xu hướng tăng đột phá (từ 0 vươn lên vị trí dẫn đầu, đạt gần 30).</ns0:t>
      </ns0:r>
    </ns0:p>
    <ns0:bookmarkEnd ns0:id="14"/>
    <ns0:bookmarkStart ns0:id="15" ns0:name="Xf159d3eca131bb8351e6eaeb79a34bf8c766ae4"/>
    <ns0:p>
      <ns0:pPr>
        <ns0:pStyle ns0:val="Heading3"/>
      </ns0:pPr>
      <ns0:r>
        <ns0:t xml:space="preserve">Bước 3: Xác định đặc điểm chính cho phần Overview</ns0:t>
      </ns0:r>
    </ns0:p>
    <ns0:p>
      <ns0:pPr>
        <ns0:pStyle ns0:val="CDStep"/>
      </ns0:pPr>
      <ns0:r>
        <ns0:t xml:space="preserve">Không chỉ nêu xu hướng tăng/giảm đơn thuần, Band 7 cần nhấn mạnh sự</ns0:t>
      </ns0:r>
      <ns0:r>
        <ns0:t xml:space="preserve"> </ns0:t>
      </ns0:r>
      <ns0:r>
        <ns0:rPr>
          <ns0:b/>
          <ns0:bCs/>
        </ns0:rPr>
        <ns0:t xml:space="preserve">thay đổi vị thế (overtaking)</ns0:t>
      </ns0:r>
      <ns0:r>
        <ns0:t xml:space="preserve">:</ns0:t>
      </ns0:r>
    </ns0:p>
    <ns0:p>
      <ns0:pPr>
        <ns0:pStyle ns0:val="Compact"/>
        <ns0:numPr>
          <ns0:ilvl ns0:val="0"/>
          <ns0:numId ns0:val="1008"/>
        </ns0:numPr>
      </ns0:pPr>
      <ns0:r>
        <ns0:rPr>
          <ns0:b/>
          <ns0:bCs/>
        </ns0:rPr>
        <ns0:t xml:space="preserve">Ý 1:</ns0:t>
      </ns0:r>
      <ns0:r>
        <ns0:t xml:space="preserve"> </ns0:t>
      </ns0:r>
      <ns0:r>
        <ns0:t xml:space="preserve">City C chứng kiến sự gia tăng mạnh mẽ nhất, trái ngược với xu hướng giảm của City A.</ns0:t>
      </ns0:r>
    </ns0:p>
    <ns0:p>
      <ns0:pPr>
        <ns0:pStyle ns0:val="Compact"/>
        <ns0:numPr>
          <ns0:ilvl ns0:val="0"/>
          <ns0:numId ns0:val="1008"/>
        </ns0:numPr>
      </ns0:pPr>
      <ns0:r>
        <ns0:rPr>
          <ns0:b/>
          <ns0:bCs/>
        </ns0:rPr>
        <ns0:t xml:space="preserve">Ý 2:</ns0:t>
      </ns0:r>
      <ns0:r>
        <ns0:t xml:space="preserve"> </ns0:t>
      </ns0:r>
      <ns0:r>
        <ns0:t xml:space="preserve">Kết quả là City C đã thay thế City A để trở thành địa điểm tổ chức hội nghị phổ biến nhất vào cuối giai đoạn.</ns0:t>
      </ns0:r>
    </ns0:p>
    <ns0:bookmarkEnd ns0:id="15"/>
    <ns0:bookmarkStart ns0:id="16" ns0:name="bước-4-nhóm-thông-tin-body-paragraphs"/>
    <ns0:p>
      <ns0:pPr>
        <ns0:pStyle ns0:val="Heading3"/>
      </ns0:pPr>
      <ns0:r>
        <ns0:t xml:space="preserve">Bước 4: Nhóm thông tin (Body Paragraphs)</ns0:t>
      </ns0:r>
    </ns0:p>
    <ns0:p>
      <ns0:pPr>
        <ns0:pStyle ns0:val="Compact"/>
        <ns0:numPr>
          <ns0:ilvl ns0:val="0"/>
          <ns0:numId ns0:val="1009"/>
        </ns0:numPr>
      </ns0:pPr>
      <ns0:r>
        <ns0:rPr>
          <ns0:b/>
          <ns0:bCs/>
        </ns0:rPr>
        <ns0:t xml:space="preserve">Thân bài 1:</ns0:t>
      </ns0:r>
      <ns0:r>
        <ns0:t xml:space="preserve"> </ns0:t>
      </ns0:r>
      <ns0:r>
        <ns0:t xml:space="preserve">Phân tích City A và City B (Nhóm bắt đầu với con số cao). Tập trung vào sự sụt giảm của A và sự ổn định của B.</ns0:t>
      </ns0:r>
    </ns0:p>
    <ns0:p>
      <ns0:pPr>
        <ns0:pStyle ns0:val="Compact"/>
        <ns0:numPr>
          <ns0:ilvl ns0:val="0"/>
          <ns0:numId ns0:val="1009"/>
        </ns0:numPr>
      </ns0:pPr>
      <ns0:r>
        <ns0:rPr>
          <ns0:b/>
          <ns0:bCs/>
        </ns0:rPr>
        <ns0:t xml:space="preserve">Thân bài 2:</ns0:t>
      </ns0:r>
      <ns0:r>
        <ns0:t xml:space="preserve"> </ns0:t>
      </ns0:r>
      <ns0:r>
        <ns0:t xml:space="preserve">Phân tích City C (Nhóm bứt phá). Làm nổi bật điểm xuất phát bằng 0 và sự vươn lên vượt qua cả A và B.</ns0:t>
      </ns0:r>
    </ns0:p>
    <ns0:bookmarkEnd ns0:id="16"/>
    <ns0:bookmarkEnd ns0:id="17"/>
    <ns0:bookmarkStart ns0:id="22" ns0:name="phần-ii.-kiến-tạo-bài-báo-cáo-hoàn-chỉnh"/>
    <ns0:p>
      <ns0:pPr>
        <ns0:pStyle ns0:val="Heading2"/>
      </ns0:pPr>
      <ns0:r>
        <ns0:t xml:space="preserve">Phần II. Kiến tạo bài báo cáo hoàn chỉnh</ns0:t>
      </ns0:r>
    </ns0:p>
    <ns0:bookmarkStart ns0:id="18" ns0:name="mở-bài-introduction"/>
    <ns0:p>
      <ns0:pPr>
        <ns0:pStyle ns0:val="Heading3"/>
      </ns0:pPr>
      <ns0:r>
        <ns0:t xml:space="preserve">1. Mở bài (Introduction)</ns0:t>
      </ns0:r>
    </ns0:p>
    <ns0:p>
      <ns0:pPr>
        <ns0:pStyle ns0:val="Compact"/>
        <ns0:numPr>
          <ns0:ilvl ns0:val="0"/>
          <ns0:numId ns0:val="1010"/>
        </ns0:numPr>
      </ns0:pPr>
      <ns0:r>
        <ns0:rPr>
          <ns0:b/>
          <ns0:bCs/>
        </ns0:rPr>
        <ns0:t xml:space="preserve">Nhiệm vụ:</ns0:t>
      </ns0:r>
      <ns0:r>
        <ns0:t xml:space="preserve"> </ns0:t>
      </ns0:r>
      <ns0:r>
        <ns0:t xml:space="preserve">Paraphrase đề bài mạch lạc, tự nhiên.</ns0:t>
      </ns0:r>
    </ns0:p>
    <ns0:p>
      <ns0:pPr>
        <ns0:pStyle ns0:val="Compact"/>
        <ns0:numPr>
          <ns0:ilvl ns0:val="0"/>
          <ns0:numId ns0:val="1010"/>
        </ns0:numPr>
      </ns0:pPr>
      <ns0:r>
        <ns0:t xml:space="preserve">“The provided line graph compares three different cities in terms of the number of international conferences they hosted over a 45-year period, commencing in 1965.”</ns0:t>
      </ns0:r>
    </ns0:p>
    <ns0:bookmarkEnd ns0:id="18"/>
    <ns0:bookmarkStart ns0:id="19" ns0:name="tổng-quan-overview"/>
    <ns0:p>
      <ns0:pPr>
        <ns0:pStyle ns0:val="Heading3"/>
      </ns0:pPr>
      <ns0:r>
        <ns0:t xml:space="preserve">2. Tổng quan (Overview)</ns0:t>
      </ns0:r>
    </ns0:p>
    <ns0:p>
      <ns0:pPr>
        <ns0:pStyle ns0:val="Compact"/>
        <ns0:numPr>
          <ns0:ilvl ns0:val="0"/>
          <ns0:numId ns0:val="1011"/>
        </ns0:numPr>
      </ns0:pPr>
      <ns0:r>
        <ns0:rPr>
          <ns0:b/>
          <ns0:bCs/>
        </ns0:rPr>
        <ns0:t xml:space="preserve">Nhiệm vụ:</ns0:t>
      </ns0:r>
      <ns0:r>
        <ns0:t xml:space="preserve"> </ns0:t>
      </ns0:r>
      <ns0:r>
        <ns0:t xml:space="preserve">Nêu bật xu hướng trái ngược và sự đổi ngôi.</ns0:t>
      </ns0:r>
    </ns0:p>
    <ns0:p>
      <ns0:pPr>
        <ns0:pStyle ns0:val="Compact"/>
        <ns0:numPr>
          <ns0:ilvl ns0:val="0"/>
          <ns0:numId ns0:val="1011"/>
        </ns0:numPr>
      </ns0:pPr>
      <ns0:r>
        <ns0:t xml:space="preserve">“Overall, it is readily apparent that while City A experienced a downward trend, City C saw a dramatic increase in the number of conferences. Notably, by the end of the period, City C had overtaken City A to become the most popular destination for such events among the three cities.”</ns0:t>
      </ns0:r>
    </ns0:p>
    <ns0:bookmarkEnd ns0:id="19"/>
    <ns0:bookmarkStart ns0:id="20" ns0:name="Xe6c481b5ae2291d8664360f518ef3cd1880ea8d"/>
    <ns0:p>
      <ns0:pPr>
        <ns0:pStyle ns0:val="Heading3"/>
      </ns0:pPr>
      <ns0:r>
        <ns0:t xml:space="preserve">3. Thân bài 1: Phân tích City A và City B (Nhóm đầu bảng ban đầu)</ns0:t>
      </ns0:r>
    </ns0:p>
    <ns0:p>
      <ns0:pPr>
        <ns0:pStyle ns0:val="Compact"/>
        <ns0:numPr>
          <ns0:ilvl ns0:val="0"/>
          <ns0:numId ns0:val="1012"/>
        </ns0:numPr>
      </ns0:pPr>
      <ns0:r>
        <ns0:rPr>
          <ns0:b/>
          <ns0:bCs/>
        </ns0:rPr>
        <ns0:t xml:space="preserve">Chiến lược:</ns0:t>
      </ns0:r>
      <ns0:r>
        <ns0:t xml:space="preserve"> </ns0:t>
      </ns0:r>
      <ns0:r>
        <ns0:t xml:space="preserve">Dùng cấu trúc so sánh và miêu tả xu hướng linh hoạt.</ns0:t>
      </ns0:r>
    </ns0:p>
    <ns0:p>
      <ns0:pPr>
        <ns0:pStyle ns0:val="Compact"/>
        <ns0:numPr>
          <ns0:ilvl ns0:val="0"/>
          <ns0:numId ns0:val="1012"/>
        </ns0:numPr>
      </ns0:pPr>
      <ns0:r>
        <ns0:t xml:space="preserve">“In 1965, City A was the dominant host, organizing exactly 35 international conferences. However, this figure experienced a sharp drop to 20 over the next decade, before recovering to 30 in 2005 and ultimately plunging to a low of 20 by 2010. Meanwhile, the number of conferences held in City B remained relatively stable. It started at roughly 31 in 1965 and fluctuated mildly over the following decades, concluding the period at 25.”</ns0:t>
      </ns0:r>
    </ns0:p>
    <ns0:bookmarkEnd ns0:id="20"/>
    <ns0:bookmarkStart ns0:id="21" ns0:name="thân-bài-2-phân-tích-city-c-sự-bứt-phá"/>
    <ns0:p>
      <ns0:pPr>
        <ns0:pStyle ns0:val="Heading3"/>
      </ns0:pPr>
      <ns0:r>
        <ns0:t xml:space="preserve">4. Thân bài 2: Phân tích City C (Sự bứt phá)</ns0:t>
      </ns0:r>
    </ns0:p>
    <ns0:p>
      <ns0:pPr>
        <ns0:pStyle ns0:val="Compact"/>
        <ns0:numPr>
          <ns0:ilvl ns0:val="0"/>
          <ns0:numId ns0:val="1013"/>
        </ns0:numPr>
      </ns0:pPr>
      <ns0:r>
        <ns0:rPr>
          <ns0:b/>
          <ns0:bCs/>
        </ns0:rPr>
        <ns0:t xml:space="preserve">Chiến lược:</ns0:t>
      </ns0:r>
      <ns0:r>
        <ns0:t xml:space="preserve"> </ns0:t>
      </ns0:r>
      <ns0:r>
        <ns0:t xml:space="preserve">Nhấn mạnh điểm xuất phát và sử dụng từ vựng chỉ sự vượt mặt (surpass/overtake).</ns0:t>
      </ns0:r>
    </ns0:p>
    <ns0:p>
      <ns0:pPr>
        <ns0:pStyle ns0:val="Compact"/>
        <ns0:numPr>
          <ns0:ilvl ns0:val="0"/>
          <ns0:numId ns0:val="1013"/>
        </ns0:numPr>
      </ns0:pPr>
      <ns0:r>
        <ns0:t xml:space="preserve">“Turning to City C, its trajectory was markedly different. Having hosted no international conferences in 1965, the city saw a consistent and significant surge in its figures. The number climbed to 20 in 1985 and continued its upward momentum, eventually reaching a peak of nearly 30 in 2010. In doing so, City C successfully surpassed both City A and City B in the final years to claim the top position.”</ns0:t>
      </ns0:r>
    </ns0:p>
    <ns0:bookmarkEnd ns0:id="21"/>
    <ns0:bookmarkEnd ns0:id="22"/>
    <ns0:bookmarkStart ns0:id="23" ns0:name="X03788d2ef23b0436de4537ca2690ca96d6c7e4b"/>
    <ns0:p>
      <ns0:pPr>
        <ns0:pStyle ns0:val="Heading2"/>
      </ns0:pPr>
      <ns0:r>
        <ns0:t xml:space="preserve">Phần III. Cấu trúc ngữ pháp &amp; Từ vựng nâng cao</ns0:t>
      </ns0:r>
    </ns0:p>
    <ns0:p>
      <ns0:pPr>
        <ns0:pStyle ns0:val="Compact"/>
        <ns0:numPr>
          <ns0:ilvl ns0:val="0"/>
          <ns0:numId ns0:val="1014"/>
        </ns0:numPr>
      </ns0:pPr>
      <ns0:r>
        <ns0:rPr>
          <ns0:rStyle ns0:val="CDBlue"/>
          <ns0:b/>
          <ns0:bCs/>
        </ns0:rPr>
        <ns0:t xml:space="preserve">Sử dụng Phân từ hoàn thành (Perfect Participle) để nối câu</ns0:t>
      </ns0:r>
      <ns0:r>
        <ns0:rPr>
          <ns0:b/>
          <ns0:bCs/>
        </ns0:rPr>
        <ns0:t xml:space="preserve">:</ns0:t>
      </ns0:r>
    </ns0:p>
    <ns0:p>
      <ns0:pPr>
        <ns0:pStyle ns0:val="Compact"/>
        <ns0:numPr>
          <ns0:ilvl ns0:val="1"/>
          <ns0:numId ns0:val="1015"/>
        </ns0:numPr>
      </ns0:pPr>
      <ns0:r>
        <ns0:rPr>
          <ns0:i/>
          <ns0:iCs/>
        </ns0:rPr>
        <ns0:t xml:space="preserve">Mẫu:</ns0:t>
      </ns0:r>
      <ns0:r>
        <ns0:t xml:space="preserve"> </ns0:t>
      </ns0:r>
      <ns0:r>
        <ns0:t xml:space="preserve">Having + V3/ed…, S + V…</ns0:t>
      </ns0:r>
    </ns0:p>
    <ns0:p>
      <ns0:pPr>
        <ns0:pStyle ns0:val="Compact"/>
        <ns0:numPr>
          <ns0:ilvl ns0:val="1"/>
          <ns0:numId ns0:val="1015"/>
        </ns0:numPr>
      </ns0:pPr>
      <ns0:r>
        <ns0:rPr>
          <ns0:i/>
          <ns0:iCs/>
        </ns0:rPr>
        <ns0:t xml:space="preserve">Ví dụ:</ns0:t>
      </ns0:r>
      <ns0:r>
        <ns0:t xml:space="preserve"> </ns0:t>
      </ns0:r>
      <ns0:r>
        <ns0:rPr>
          <ns0:b/>
          <ns0:bCs/>
        </ns0:rPr>
        <ns0:t xml:space="preserve">Having hosted no international conferences in 1965</ns0:t>
      </ns0:r>
      <ns0:r>
        <ns0:t xml:space="preserve">, the city saw a consistent surge… (Thay vì viết 2 câu đơn điệu).</ns0:t>
      </ns0:r>
    </ns0:p>
    <ns0:p>
      <ns0:pPr>
        <ns0:pStyle ns0:val="Compact"/>
        <ns0:numPr>
          <ns0:ilvl ns0:val="0"/>
          <ns0:numId ns0:val="1014"/>
        </ns0:numPr>
      </ns0:pPr>
      <ns0:r>
        <ns0:rPr>
          <ns0:rStyle ns0:val="CDBlue"/>
          <ns0:b/>
          <ns0:bCs/>
        </ns0:rPr>
        <ns0:t xml:space="preserve">Từ vựng miêu tả xu hướng</ns0:t>
      </ns0:r>
      <ns0:r>
        <ns0:rPr>
          <ns0:rStyle ns0:val="CDBlue"/>
          <ns0:b/>
          <ns0:bCs/>
        </ns0:rPr>
        <ns0:t xml:space="preserve"> </ns0:t>
      </ns0:r>
      <ns0:r>
        <ns0:rPr>
          <ns0:rStyle ns0:val="CDBlue"/>
          <ns0:b/>
          <ns0:bCs/>
        </ns0:rPr>
        <ns0:t xml:space="preserve">“ăn điểm”</ns0:t>
      </ns0:r>
      <ns0:r>
        <ns0:rPr>
          <ns0:rStyle ns0:val="CDBlue"/>
          <ns0:b/>
          <ns0:bCs/>
        </ns0:rPr>
        <ns0:t xml:space="preserve"> </ns0:t>
      </ns0:r>
      <ns0:r>
        <ns0:rPr>
          <ns0:rStyle ns0:val="CDBlue"/>
          <ns0:b/>
          <ns0:bCs/>
        </ns0:rPr>
        <ns0:t xml:space="preserve">(Collocations)</ns0:t>
      </ns0:r>
      <ns0:r>
        <ns0:rPr>
          <ns0:b/>
          <ns0:bCs/>
        </ns0:rPr>
        <ns0:t xml:space="preserve">:</ns0:t>
      </ns0:r>
    </ns0:p>
    <ns0:p>
      <ns0:pPr>
        <ns0:pStyle ns0:val="Compact"/>
        <ns0:numPr>
          <ns0:ilvl ns0:val="1"/>
          <ns0:numId ns0:val="1016"/>
        </ns0:numPr>
      </ns0:pPr>
      <ns0:r>
        <ns0:rPr>
          <ns0:i/>
          <ns0:iCs/>
        </ns0:rPr>
        <ns0:t xml:space="preserve">Downward trend / Upward momentum</ns0:t>
      </ns0:r>
      <ns0:r>
        <ns0:t xml:space="preserve"> </ns0:t>
      </ns0:r>
      <ns0:r>
        <ns0:t xml:space="preserve">(Đà giảm / Đà tăng).</ns0:t>
      </ns0:r>
    </ns0:p>
    <ns0:p>
      <ns0:pPr>
        <ns0:pStyle ns0:val="Compact"/>
        <ns0:numPr>
          <ns0:ilvl ns0:val="1"/>
          <ns0:numId ns0:val="1016"/>
        </ns0:numPr>
      </ns0:pPr>
      <ns0:r>
        <ns0:rPr>
          <ns0:i/>
          <ns0:iCs/>
        </ns0:rPr>
        <ns0:t xml:space="preserve">Experienced a sharp drop / Plunged to a low of…</ns0:t>
      </ns0:r>
      <ns0:r>
        <ns0:t xml:space="preserve"> </ns0:t>
      </ns0:r>
      <ns0:r>
        <ns0:t xml:space="preserve">(Giảm mạnh / Rớt xuống mức thấp nhất là…).</ns0:t>
      </ns0:r>
    </ns0:p>
    <ns0:p>
      <ns0:pPr>
        <ns0:pStyle ns0:val="Compact"/>
        <ns0:numPr>
          <ns0:ilvl ns0:val="1"/>
          <ns0:numId ns0:val="1016"/>
        </ns0:numPr>
      </ns0:pPr>
      <ns0:r>
        <ns0:rPr>
          <ns0:i/>
          <ns0:iCs/>
        </ns0:rPr>
        <ns0:t xml:space="preserve">Fluctuated mildly / Remained relatively stable</ns0:t>
      </ns0:r>
      <ns0:r>
        <ns0:t xml:space="preserve"> </ns0:t>
      </ns0:r>
      <ns0:r>
        <ns0:t xml:space="preserve">(Dao động nhẹ / Tương đối ổn định).</ns0:t>
      </ns0:r>
    </ns0:p>
    <ns0:p>
      <ns0:pPr>
        <ns0:pStyle ns0:val="Compact"/>
        <ns0:numPr>
          <ns0:ilvl ns0:val="0"/>
          <ns0:numId ns0:val="1014"/>
        </ns0:numPr>
      </ns0:pPr>
      <ns0:r>
        <ns0:rPr>
          <ns0:rStyle ns0:val="CDBlue"/>
          <ns0:b/>
          <ns0:bCs/>
        </ns0:rPr>
        <ns0:t xml:space="preserve">Từ vựng chỉ sự vượt trội/đổi ngôi</ns0:t>
      </ns0:r>
      <ns0:r>
        <ns0:rPr>
          <ns0:b/>
          <ns0:bCs/>
        </ns0:rPr>
        <ns0:t xml:space="preserve">:</ns0:t>
      </ns0:r>
    </ns0:p>
    <ns0:p>
      <ns0:pPr>
        <ns0:pStyle ns0:val="Compact"/>
        <ns0:numPr>
          <ns0:ilvl ns0:val="1"/>
          <ns0:numId ns0:val="1017"/>
        </ns0:numPr>
      </ns0:pPr>
      <ns0:r>
        <ns0:rPr>
          <ns0:i/>
          <ns0:iCs/>
        </ns0:rPr>
        <ns0:t xml:space="preserve">Overtake / Surpass</ns0:t>
      </ns0:r>
      <ns0:r>
        <ns0:t xml:space="preserve"> </ns0:t>
      </ns0:r>
      <ns0:r>
        <ns0:t xml:space="preserve">(Vượt qua).</ns0:t>
      </ns0:r>
    </ns0:p>
    <ns0:p>
      <ns0:pPr>
        <ns0:pStyle ns0:val="Compact"/>
        <ns0:numPr>
          <ns0:ilvl ns0:val="1"/>
          <ns0:numId ns0:val="1017"/>
        </ns0:numPr>
      </ns0:pPr>
      <ns0:r>
        <ns0:rPr>
          <ns0:i/>
          <ns0:iCs/>
        </ns0:rPr>
        <ns0:t xml:space="preserve">Claim the top position / Become the dominant host</ns0:t>
      </ns0:r>
      <ns0:r>
        <ns0:t xml:space="preserve"> </ns0:t>
      </ns0:r>
      <ns0:r>
        <ns0:t xml:space="preserve">(Chiếm vị trí dẫn đầu).</ns0:t>
      </ns0:r>
    </ns0:p>
    <ns0:p>
      <ns0:pPr>
        <ns0:pStyle ns0:val="Compact"/>
        <ns0:numPr>
          <ns0:ilvl ns0:val="0"/>
          <ns0:numId ns0:val="1014"/>
        </ns0:numPr>
      </ns0:pPr>
      <ns0:r>
        <ns0:rPr>
          <ns0:rStyle ns0:val="CDBlue"/>
          <ns0:b/>
          <ns0:bCs/>
        </ns0:rPr>
        <ns0:t xml:space="preserve">Sử dụng Reference (Đại từ thay thế) hiệu quả</ns0:t>
      </ns0:r>
      <ns0:r>
        <ns0:rPr>
          <ns0:b/>
          <ns0:bCs/>
        </ns0:rPr>
        <ns0:t xml:space="preserve">:</ns0:t>
      </ns0:r>
    </ns0:p>
    <ns0:p>
      <ns0:pPr>
        <ns0:pStyle ns0:val="Compact"/>
        <ns0:numPr>
          <ns0:ilvl ns0:val="1"/>
          <ns0:numId ns0:val="1018"/>
        </ns0:numPr>
      </ns0:pPr>
      <ns0:r>
        <ns0:t xml:space="preserve">Dùng</ns0:t>
      </ns0:r>
      <ns0:r>
        <ns0:t xml:space="preserve"> </ns0:t>
      </ns0:r>
      <ns0:r>
        <ns0:rPr>
          <ns0:i/>
          <ns0:iCs/>
        </ns0:rPr>
        <ns0:t xml:space="preserve">“this figure”</ns0:t>
      </ns0:r>
      <ns0:r>
        <ns0:t xml:space="preserve">,</ns0:t>
      </ns0:r>
      <ns0:r>
        <ns0:t xml:space="preserve"> </ns0:t>
      </ns0:r>
      <ns0:r>
        <ns0:rPr>
          <ns0:i/>
          <ns0:iCs/>
        </ns0:rPr>
        <ns0:t xml:space="preserve">“such events”</ns0:t>
      </ns0:r>
      <ns0:r>
        <ns0:t xml:space="preserve"> </ns0:t>
      </ns0:r>
      <ns0:r>
        <ns0:t xml:space="preserve">để tránh lặp lại từ</ns0:t>
      </ns0:r>
      <ns0:r>
        <ns0:t xml:space="preserve"> </ns0:t>
      </ns0:r>
      <ns0:r>
        <ns0:t xml:space="preserve">“the number of conferences”</ns0:t>
      </ns0:r>
      <ns0:r>
        <ns0:t xml:space="preserve">.</ns0:t>
      </ns0:r>
    </ns0:p>
    <ns0:tbl>
      <ns0:tblPr>
        <ns0:tblStyle ns0:val="CDVocabTable"/>
        <ns0:tblW ns0:type="dxa" ns0:w="9732"/>
        <ns0:tblLayout ns0:type="autofit"/>
        <ns0:tblLook ns0:firstRow="1" ns0:lastRow="0" ns0:firstColumn="0" ns0:lastColumn="0" ns0:noHBand="0" ns0:noVBand="0" ns0:val="0020"/>
        <ns0:tblInd ns0:type="dxa" ns0:w="240"/>
      </ns0:tblPr>
      <ns0:tblGrid>
        <ns0:gridCol ns0:w="2433"/>
        <ns0:gridCol ns0:w="2433"/>
        <ns0:gridCol ns0:w="2433"/>
        <ns0:gridCol ns0:w="2433"/>
      </ns0:tblGrid>
      <ns0:tr>
        <ns0:trPr>
          <ns0:tblHeader ns0:val="on"/>
        </ns0:trPr>
        <ns0:tc>
          <ns0:tcPr/>
          <ns0:p>
            <ns0:pPr>
              <ns0:pStyle ns0:val="Compact"/>
            </ns0:pPr>
            <ns0:r>
              <ns0:t xml:space="preserve">Từ/ Cụm từ</ns0:t>
            </ns0:r>
          </ns0:p>
        </ns0:tc>
        <ns0:tc>
          <ns0:tcPr/>
          <ns0:p>
            <ns0:pPr>
              <ns0:pStyle ns0:val="Compact"/>
            </ns0:pPr>
            <ns0:r>
              <ns0:t xml:space="preserve">Từ loại</ns0:t>
            </ns0:r>
          </ns0:p>
        </ns0:tc>
        <ns0:tc>
          <ns0:tcPr/>
          <ns0:p>
            <ns0:pPr>
              <ns0:pStyle ns0:val="Compact"/>
            </ns0:pPr>
            <ns0:r>
              <ns0:t xml:space="preserve">Nghĩa tiếng Việt</ns0:t>
            </ns0:r>
          </ns0:p>
        </ns0:tc>
        <ns0:tc>
          <ns0:tcPr/>
          <ns0:p>
            <ns0:pPr>
              <ns0:pStyle ns0:val="Compact"/>
            </ns0:pPr>
            <ns0:r>
              <ns0:t xml:space="preserve">Ví dụ trong bài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b/>
                <ns0:bCs/>
              </ns0:rPr>
              <ns0:t xml:space="preserve">overtake</ns0:t>
            </ns0:r>
            <ns0:r>
              <ns0:t xml:space="preserve"> </ns0:t>
            </ns0:r>
            <ns0:r>
              <ns0:t xml:space="preserve">(v)</ns0:t>
            </ns0:r>
          </ns0:p>
        </ns0:tc>
        <ns0:tc>
          <ns0:tcPr/>
          <ns0:p>
            <ns0:pPr>
              <ns0:pStyle ns0:val="Compact"/>
            </ns0:pPr>
            <ns0:r>
              <ns0:t xml:space="preserve">Verb</ns0:t>
            </ns0:r>
          </ns0:p>
        </ns0:tc>
        <ns0:tc>
          <ns0:tcPr/>
          <ns0:p>
            <ns0:pPr>
              <ns0:pStyle ns0:val="Compact"/>
            </ns0:pPr>
            <ns0:r>
              <ns0:t xml:space="preserve">Vượt qua, soán ngôi</ns0:t>
            </ns0:r>
          </ns0:p>
        </ns0:tc>
        <ns0:tc>
          <ns0:tcPr/>
          <ns0:p>
            <ns0:pPr>
              <ns0:pStyle ns0:val="Compact"/>
            </ns0:pPr>
            <ns0:r>
              <ns0:t xml:space="preserve">City C overtook City A in the final years of the period.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b/>
                <ns0:bCs/>
              </ns0:rPr>
              <ns0:t xml:space="preserve">surpass</ns0:t>
            </ns0:r>
            <ns0:r>
              <ns0:t xml:space="preserve"> </ns0:t>
            </ns0:r>
            <ns0:r>
              <ns0:t xml:space="preserve">(v)</ns0:t>
            </ns0:r>
          </ns0:p>
        </ns0:tc>
        <ns0:tc>
          <ns0:tcPr/>
          <ns0:p>
            <ns0:pPr>
              <ns0:pStyle ns0:val="Compact"/>
            </ns0:pPr>
            <ns0:r>
              <ns0:t xml:space="preserve">Verb</ns0:t>
            </ns0:r>
          </ns0:p>
        </ns0:tc>
        <ns0:tc>
          <ns0:tcPr/>
          <ns0:p>
            <ns0:pPr>
              <ns0:pStyle ns0:val="Compact"/>
            </ns0:pPr>
            <ns0:r>
              <ns0:t xml:space="preserve">Vượt mặt</ns0:t>
            </ns0:r>
          </ns0:p>
        </ns0:tc>
        <ns0:tc>
          <ns0:tcPr/>
          <ns0:p>
            <ns0:pPr>
              <ns0:pStyle ns0:val="Compact"/>
            </ns0:pPr>
            <ns0:r>
              <ns0:t xml:space="preserve">City C surpassed both City A and City B.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b/>
                <ns0:bCs/>
              </ns0:rPr>
              <ns0:t xml:space="preserve">trajectory</ns0:t>
            </ns0:r>
            <ns0:r>
              <ns0:t xml:space="preserve"> </ns0:t>
            </ns0:r>
            <ns0:r>
              <ns0:t xml:space="preserve">(n)</ns0:t>
            </ns0:r>
          </ns0:p>
        </ns0:tc>
        <ns0:tc>
          <ns0:tcPr/>
          <ns0:p>
            <ns0:pPr>
              <ns0:pStyle ns0:val="Compact"/>
            </ns0:pPr>
            <ns0:r>
              <ns0:t xml:space="preserve">Noun</ns0:t>
            </ns0:r>
          </ns0:p>
        </ns0:tc>
        <ns0:tc>
          <ns0:tcPr/>
          <ns0:p>
            <ns0:pPr>
              <ns0:pStyle ns0:val="Compact"/>
            </ns0:pPr>
            <ns0:r>
              <ns0:t xml:space="preserve">Quỹ đạo, chiều hướng phát triển</ns0:t>
            </ns0:r>
          </ns0:p>
        </ns0:tc>
        <ns0:tc>
          <ns0:tcPr/>
          <ns0:p>
            <ns0:pPr>
              <ns0:pStyle ns0:val="Compact"/>
            </ns0:pPr>
            <ns0:r>
              <ns0:t xml:space="preserve">City C’s trajectory was markedly different from the others.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b/>
                <ns0:bCs/>
              </ns0:rPr>
              <ns0:t xml:space="preserve">upward momentum</ns0:t>
            </ns0:r>
            <ns0:r>
              <ns0:t xml:space="preserve"> </ns0:t>
            </ns0:r>
            <ns0:r>
              <ns0:t xml:space="preserve">(n)</ns0:t>
            </ns0:r>
          </ns0:p>
        </ns0:tc>
        <ns0:tc>
          <ns0:tcPr/>
          <ns0:p>
            <ns0:pPr>
              <ns0:pStyle ns0:val="Compact"/>
            </ns0:pPr>
            <ns0:r>
              <ns0:t xml:space="preserve">Noun phrase</ns0:t>
            </ns0:r>
          </ns0:p>
        </ns0:tc>
        <ns0:tc>
          <ns0:tcPr/>
          <ns0:p>
            <ns0:pPr>
              <ns0:pStyle ns0:val="Compact"/>
            </ns0:pPr>
            <ns0:r>
              <ns0:t xml:space="preserve">Đà tăng</ns0:t>
            </ns0:r>
          </ns0:p>
        </ns0:tc>
        <ns0:tc>
          <ns0:tcPr/>
          <ns0:p>
            <ns0:pPr>
              <ns0:pStyle ns0:val="Compact"/>
            </ns0:pPr>
            <ns0:r>
              <ns0:t xml:space="preserve">The city continued its upward momentum through the decades.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b/>
                <ns0:bCs/>
              </ns0:rPr>
              <ns0:t xml:space="preserve">fluctuate mildly</ns0:t>
            </ns0:r>
            <ns0:r>
              <ns0:t xml:space="preserve"> </ns0:t>
            </ns0:r>
            <ns0:r>
              <ns0:t xml:space="preserve">(v phrase)</ns0:t>
            </ns0:r>
          </ns0:p>
        </ns0:tc>
        <ns0:tc>
          <ns0:tcPr/>
          <ns0:p>
            <ns0:pPr>
              <ns0:pStyle ns0:val="Compact"/>
            </ns0:pPr>
            <ns0:r>
              <ns0:t xml:space="preserve">Verb phrase</ns0:t>
            </ns0:r>
          </ns0:p>
        </ns0:tc>
        <ns0:tc>
          <ns0:tcPr/>
          <ns0:p>
            <ns0:pPr>
              <ns0:pStyle ns0:val="Compact"/>
            </ns0:pPr>
            <ns0:r>
              <ns0:t xml:space="preserve">Dao động nhẹ</ns0:t>
            </ns0:r>
          </ns0:p>
        </ns0:tc>
        <ns0:tc>
          <ns0:tcPr/>
          <ns0:p>
            <ns0:pPr>
              <ns0:pStyle ns0:val="Compact"/>
            </ns0:pPr>
            <ns0:r>
              <ns0:t xml:space="preserve">City B’s figures fluctuated mildly throughout the period.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b/>
                <ns0:bCs/>
              </ns0:rPr>
              <ns0:t xml:space="preserve">plunge</ns0:t>
            </ns0:r>
            <ns0:r>
              <ns0:t xml:space="preserve"> </ns0:t>
            </ns0:r>
            <ns0:r>
              <ns0:t xml:space="preserve">(v)</ns0:t>
            </ns0:r>
          </ns0:p>
        </ns0:tc>
        <ns0:tc>
          <ns0:tcPr/>
          <ns0:p>
            <ns0:pPr>
              <ns0:pStyle ns0:val="Compact"/>
            </ns0:pPr>
            <ns0:r>
              <ns0:t xml:space="preserve">Verb</ns0:t>
            </ns0:r>
          </ns0:p>
        </ns0:tc>
        <ns0:tc>
          <ns0:tcPr/>
          <ns0:p>
            <ns0:pPr>
              <ns0:pStyle ns0:val="Compact"/>
            </ns0:pPr>
            <ns0:r>
              <ns0:t xml:space="preserve">Rớt xuống mạnh</ns0:t>
            </ns0:r>
          </ns0:p>
        </ns0:tc>
        <ns0:tc>
          <ns0:tcPr/>
          <ns0:p>
            <ns0:pPr>
              <ns0:pStyle ns0:val="Compact"/>
            </ns0:pPr>
            <ns0:r>
              <ns0:t xml:space="preserve">City A’s number ultimately plunged to a low of 20 by 2010.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b/>
                <ns0:bCs/>
              </ns0:rPr>
              <ns0:t xml:space="preserve">dominant</ns0:t>
            </ns0:r>
            <ns0:r>
              <ns0:t xml:space="preserve"> </ns0:t>
            </ns0:r>
            <ns0:r>
              <ns0:t xml:space="preserve">(adj)</ns0:t>
            </ns0:r>
          </ns0:p>
        </ns0:tc>
        <ns0:tc>
          <ns0:tcPr/>
          <ns0:p>
            <ns0:pPr>
              <ns0:pStyle ns0:val="Compact"/>
            </ns0:pPr>
            <ns0:r>
              <ns0:t xml:space="preserve">Adjective</ns0:t>
            </ns0:r>
          </ns0:p>
        </ns0:tc>
        <ns0:tc>
          <ns0:tcPr/>
          <ns0:p>
            <ns0:pPr>
              <ns0:pStyle ns0:val="Compact"/>
            </ns0:pPr>
            <ns0:r>
              <ns0:t xml:space="preserve">Chiếm ưu thế, dẫn đầu</ns0:t>
            </ns0:r>
          </ns0:p>
        </ns0:tc>
        <ns0:tc>
          <ns0:tcPr/>
          <ns0:p>
            <ns0:pPr>
              <ns0:pStyle ns0:val="Compact"/>
            </ns0:pPr>
            <ns0:r>
              <ns0:t xml:space="preserve">In 1965, City A was the dominant host.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b/>
                <ns0:bCs/>
              </ns0:rPr>
              <ns0:t xml:space="preserve">markedly</ns0:t>
            </ns0:r>
            <ns0:r>
              <ns0:t xml:space="preserve"> </ns0:t>
            </ns0:r>
            <ns0:r>
              <ns0:t xml:space="preserve">(adv)</ns0:t>
            </ns0:r>
          </ns0:p>
        </ns0:tc>
        <ns0:tc>
          <ns0:tcPr/>
          <ns0:p>
            <ns0:pPr>
              <ns0:pStyle ns0:val="Compact"/>
            </ns0:pPr>
            <ns0:r>
              <ns0:t xml:space="preserve">Adverb</ns0:t>
            </ns0:r>
          </ns0:p>
        </ns0:tc>
        <ns0:tc>
          <ns0:tcPr/>
          <ns0:p>
            <ns0:pPr>
              <ns0:pStyle ns0:val="Compact"/>
            </ns0:pPr>
            <ns0:r>
              <ns0:t xml:space="preserve">Rõ rệt, đáng kể</ns0:t>
            </ns0:r>
          </ns0:p>
        </ns0:tc>
        <ns0:tc>
          <ns0:tcPr/>
          <ns0:p>
            <ns0:pPr>
              <ns0:pStyle ns0:val="Compact"/>
            </ns0:pPr>
            <ns0:r>
              <ns0:t xml:space="preserve">Its trajectory was markedly different.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b/>
                <ns0:bCs/>
              </ns0:rPr>
              <ns0:t xml:space="preserve">consistent</ns0:t>
            </ns0:r>
            <ns0:r>
              <ns0:t xml:space="preserve"> </ns0:t>
            </ns0:r>
            <ns0:r>
              <ns0:t xml:space="preserve">(adj)</ns0:t>
            </ns0:r>
          </ns0:p>
        </ns0:tc>
        <ns0:tc>
          <ns0:tcPr/>
          <ns0:p>
            <ns0:pPr>
              <ns0:pStyle ns0:val="Compact"/>
            </ns0:pPr>
            <ns0:r>
              <ns0:t xml:space="preserve">Adjective</ns0:t>
            </ns0:r>
          </ns0:p>
        </ns0:tc>
        <ns0:tc>
          <ns0:tcPr/>
          <ns0:p>
            <ns0:pPr>
              <ns0:pStyle ns0:val="Compact"/>
            </ns0:pPr>
            <ns0:r>
              <ns0:t xml:space="preserve">Nhất quán, bền vững</ns0:t>
            </ns0:r>
          </ns0:p>
        </ns0:tc>
        <ns0:tc>
          <ns0:tcPr/>
          <ns0:p>
            <ns0:pPr>
              <ns0:pStyle ns0:val="Compact"/>
            </ns0:pPr>
            <ns0:r>
              <ns0:t xml:space="preserve">City C saw a consistent and significant surge.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b/>
                <ns0:bCs/>
              </ns0:rPr>
              <ns0:t xml:space="preserve">commence</ns0:t>
            </ns0:r>
            <ns0:r>
              <ns0:t xml:space="preserve"> </ns0:t>
            </ns0:r>
            <ns0:r>
              <ns0:t xml:space="preserve">(v)</ns0:t>
            </ns0:r>
          </ns0:p>
        </ns0:tc>
        <ns0:tc>
          <ns0:tcPr/>
          <ns0:p>
            <ns0:pPr>
              <ns0:pStyle ns0:val="Compact"/>
            </ns0:pPr>
            <ns0:r>
              <ns0:t xml:space="preserve">Verb</ns0:t>
            </ns0:r>
          </ns0:p>
        </ns0:tc>
        <ns0:tc>
          <ns0:tcPr/>
          <ns0:p>
            <ns0:pPr>
              <ns0:pStyle ns0:val="Compact"/>
            </ns0:pPr>
            <ns0:r>
              <ns0:t xml:space="preserve">Bắt đầu (văn phong trang trọng)</ns0:t>
            </ns0:r>
          </ns0:p>
        </ns0:tc>
        <ns0:tc>
          <ns0:tcPr/>
          <ns0:p>
            <ns0:pPr>
              <ns0:pStyle ns0:val="Compact"/>
            </ns0:pPr>
            <ns0:r>
              <ns0:t xml:space="preserve">The period commenced in 1965.</ns0:t>
            </ns0:r>
          </ns0:p>
        </ns0:tc>
      </ns0:tr>
    </ns0:tbl>
    <ns0:bookmarkEnd ns0:id="23"/>
    <ns0:sectPr>
      <ns0:headerReference ns1:id="rId1" ns0:type="default"/>
      <ns0:headerReference ns1:id="rId2" ns0:type="first"/>
      <ns0:footerReference ns1:id="rId3" ns0:type="first"/>
      <ns0:footerReference ns1:id="rId3" ns0:type="default"/>
      <ns0:titlePg/>
      <ns0:pgSz ns0:h="15840" ns0:w="12240"/>
      <ns0:pgMar ns0:bottom="0" ns0:footer="0" ns0:gutter="0" ns0:header="0" ns0:left="1134" ns0:right="1134" ns0:top="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tbl>
    <w:tblPr>
      <w:tblW w:w="12240" w:type="dxa"/>
      <w:tblInd w:w="-1134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2240"/>
    </w:tblGrid>
    <w:tr>
      <w:trPr>
        <w:trHeight w:val="560" w:hRule="exact"/>
      </w:trPr>
      <w:tc>
        <w:tcPr>
          <w:vAlign w:val="bottom"/>
          <w:shd w:val="clear" w:color="auto" w:fill="FFFFFF"/>
          <w:tcMar>
            <w:bottom w:w="240" w:type="dxa"/>
          </w:tcMar>
        </w:tcPr>
        <w:p>
          <w:pPr>
            <w:jc w:val="center"/>
            <w:spacing w:before="0" w:after="0"/>
          </w:pPr>
          <w:r>
            <w:rPr>
              <w:rFonts w:ascii="Latin Modern Sans" w:hAnsi="Latin Modern Sans" w:cs="Latin Modern Sans"/>
              <w:color w:val="E52B20"/>
              <w:b/>
              <w:sz w:val="28"/>
            </w:rPr>
            <w:fldChar w:fldCharType="begin"/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instrText xml:space="preserve"> PAGE </w:instrText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fldChar w:fldCharType="separate"/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t>1</w:t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fldChar w:fldCharType="end"/>
          </w:r>
        </w:p>
      </w:tc>
    </w:tr>
    <w:tr>
      <w:trPr>
        <w:trHeight w:val="100" w:hRule="exact"/>
      </w:trPr>
      <w:tc>
        <w:tcPr>
          <w:shd w:val="clear" w:color="auto" w:fill="E52B20"/>
        </w:tcPr>
        <w:p/>
      </w:tc>
    </w:tr>
  </w:tbl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tbl>
    <w:tblPr>
      <w:tblW w:w="12240" w:type="dxa"/>
      <w:tblInd w:w="-1134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2240"/>
    </w:tblGrid>
    <w:tr>
      <w:trPr>
        <w:trHeight w:val="120" w:hRule="exact"/>
      </w:trPr>
      <w:tc>
        <w:tcPr>
          <w:shd w:val="clear" w:color="auto" w:fill="E52B20"/>
        </w:tcPr>
        <w:p/>
      </w:tc>
    </w:tr>
    <w:tr>
      <w:trPr>
        <w:trHeight w:val="360" w:hRule="exact"/>
      </w:trPr>
      <w:tc>
        <w:tcPr>
          <w:shd w:val="clear" w:color="auto" w:fill="FFFFFF"/>
        </w:tcPr>
        <w:tbl>
          <w:tblPr>
            <w:tblW w:w="3000" w:type="dxa"/>
            <w:jc w:val="center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</w:tblPr>
          <w:tblGrid>
            <w:gridCol w:w="3000"/>
          </w:tblGrid>
          <w:tr>
            <w:tc>
              <w:tcPr>
                <w:shd w:val="clear" w:color="auto" w:fill="E52B20"/>
                <w:tcMar>
                  <w:top w:w="80" w:type="dxa"/>
                  <w:bottom w:w="80" w:type="dxa"/>
                  <w:left w:w="120" w:type="dxa"/>
                  <w:right w:w="120" w:type="dxa"/>
                </w:tcMar>
              </w:tcPr>
              <w:p>
                <w:pPr>
                  <w:jc w:val="center"/>
                </w:pPr>
                <w:r>
                  <w:rPr>
                    <w:rFonts w:ascii="Latin Modern Sans" w:hAnsi="Latin Modern Sans" w:cs="Latin Modern Sans"/>
                    <w:color w:val="FFFFFF"/>
                    <w:b/>
                    <w:sz w:val="20"/>
                  </w:rPr>
                  <w:t>Self-study IELTS Material</w:t>
                </w:r>
              </w:p>
            </w:tc>
          </w:tr>
        </w:tbl>
      </w:tc>
    </w:tr>
  </w:tbl>
  <w:p>
    <w:r>
      <w:pict>
        <v:shapetype id="_x0000_t75" coordsize="21600,21600" o:spt="75" o:preferrelative="t" path="m@4@5l@4@11@9@11@9@5xe" filled="t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atermarkLogo" o:spid="_x0000_s2049" type="#_x0000_t75" style="position:absolute;margin-left:0;margin-top:0;width:450pt;height:450pt;z-index:-251654144;                       mso-position-horizontal:center;mso-position-horizontal-relative:page;                       mso-position-vertical:center;mso-position-vertical-relative:page;                       opacity:.03" o:allowincell="f" stroked="f">
          <v:fill opacity=".03" o:opacity2=".03"/>
          <v:imagedata r:id="rId1" o:title="logoTF" gain="19661f" blacklevel="22938f"/>
        </v:shape>
      </w:pict>
    </w:r>
  </w:p>
</w:hdr>
</file>

<file path=word/header2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tbl>
    <w:tblPr>
      <w:tblW w:w="12240" w:type="dxa"/>
      <w:tblInd w:w="-1134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2240"/>
    </w:tblGrid>
    <w:tr>
      <w:trPr>
        <w:trHeight w:val="1446" w:hRule="exact"/>
      </w:trPr>
      <w:tc>
        <w:tcPr>
          <w:shd w:val="clear" w:color="auto" w:fill="E52B20"/>
        </w:tcPr>
        <w:p>
          <w:pPr>
            <w:jc w:val="center"/>
            <w:spacing w:before="0" w:after="0"/>
          </w:pPr>
          <w:r>
            <w:rPr>
              <w:rFonts w:ascii="Impact" w:hAnsi="Impact" w:cs="Impact"/>
              <w:color w:val="FFFFFF"/>
              <w:sz w:val="144"/>
              <w:b/>
            </w:rPr>
            <w:t>IELTS WORKSHOP</w:t>
          </w:r>
        </w:p>
      </w:tc>
    </w:tr>
    <w:tr>
      <w:trPr>
        <w:trHeight w:val="91" w:hRule="exact"/>
      </w:trPr>
      <w:tc>
        <w:tcPr>
          <w:shd w:val="clear" w:color="auto" w:fill="FFFFFF"/>
        </w:tcPr>
        <w:p/>
      </w:tc>
    </w:tr>
    <w:tr>
      <w:trPr>
        <w:trHeight w:val="425" w:hRule="exact"/>
      </w:trPr>
      <w:tc>
        <w:tcPr>
          <w:shd w:val="clear" w:color="auto" w:fill="E52B20"/>
        </w:tcPr>
        <w:tbl>
          <w:tblPr>
            <w:tblW w:w="12240" w:type="dxa"/>
            <w:tblLayout w:type="fixed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</w:tblPr>
          <w:tblGrid>
            <w:gridCol w:w="6120"/>
            <w:gridCol w:w="6120"/>
          </w:tblGrid>
          <w:tr>
            <w:tc>
              <w:tcPr>
                <w:shd w:val="clear" w:color="auto" w:fill="E52B20"/>
                <w:tcMar>
                  <w:left w:w="1134" w:type="dxa"/>
                  <w:right w:w="240" w:type="dxa"/>
                </w:tcMar>
              </w:tcPr>
              <w:p>
                <w:pPr>
                  <w:jc w:val="left"/>
                </w:pPr>
                <w:r>
                  <w:rPr>
                    <w:rFonts w:ascii="Latin Modern Sans" w:hAnsi="Latin Modern Sans" w:cs="Latin Modern Sans"/>
                    <w:color w:val="FFFFFF"/>
                    <w:b/>
                    <w:sz w:val="20"/>
                  </w:rPr>
                  <w:t>THE FORUM CENTER - NGUYỄN HOÀNG HUY</w:t>
                </w:r>
              </w:p>
            </w:tc>
            <w:tc>
              <w:tcPr>
                <w:shd w:val="clear" w:color="auto" w:fill="E52B20"/>
                <w:tcMar>
                  <w:left w:w="240" w:type="dxa"/>
                  <w:right w:w="1134" w:type="dxa"/>
                </w:tcMar>
              </w:tcPr>
              <w:p>
                <w:pPr>
                  <w:jc w:val="right"/>
                </w:pPr>
                <w:r>
                  <w:rPr>
                    <w:rFonts w:ascii="Latin Modern Sans" w:hAnsi="Latin Modern Sans" w:cs="Latin Modern Sans"/>
                    <w:color w:val="FFFFFF"/>
                    <w:b/>
                    <w:sz w:val="20"/>
                  </w:rPr>
                  <w:t>TÀI LIỆU CHUYÊN ĐỀ WRITING</w:t>
                </w:r>
              </w:p>
            </w:tc>
          </w:tr>
        </w:tbl>
      </w:tc>
    </w:tr>
  </w:tbl>
  <w:p>
    <w:r>
      <w:pict>
        <v:shapetype id="_x0000_t75" coordsize="21600,21600" o:spt="75" o:preferrelative="t" path="m@4@5l@4@11@9@11@9@5xe" filled="t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atermarkLogo" o:spid="_x0000_s2049" type="#_x0000_t75" style="position:absolute;margin-left:0;margin-top:0;width:450pt;height:450pt;z-index:-251654144;                       mso-position-horizontal:center;mso-position-horizontal-relative:page;                       mso-position-vertical:center;mso-position-vertical-relative:page;                       opacity:.03" o:allowincell="f" stroked="f">
          <v:fill opacity=".03" o:opacity2=".03"/>
          <v:imagedata r:id="rId1" o:title="logoTF" gain="19661f" blacklevel="22938f"/>
        </v:shape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Georgia" w:cs="Georgia" w:hAnsi="Georgia"/>
        <w:sz w:val="24"/>
      </w:rPr>
    </w:rPrDefault>
    <w:pPrDefault>
      <w:pPr>
        <w:spacing w:after="120"/>
      </w:pPr>
    </w:pPrDefault>
  </w:docDefaults>
  <w:style w:default="1" w:styleId="Normal" w:type="paragraph">
    <w:name w:val="Normal"/>
    <w:qFormat/>
    <w:pPr>
      <w:spacing w:after="120"/>
    </w:pPr>
    <w:rPr>
      <w:rFonts w:ascii="Georgia" w:cs="Georgia" w:hAnsi="Georgia"/>
      <w:sz w:val="24"/>
    </w:rPr>
  </w:style>
  <w:style w:styleId="Heading1" w:type="paragraph">
    <w:name w:val="heading 1"/>
    <w:basedOn w:val="Normal"/>
    <w:uiPriority w:val="9"/>
    <w:qFormat/>
    <w:pPr>
      <w:spacing w:after="120" w:before="240"/>
    </w:pPr>
    <w:rPr>
      <w:rFonts w:ascii="Latin Modern Sans" w:cs="Latin Modern Sans" w:hAnsi="Latin Modern Sans"/>
      <w:b/>
      <w:sz w:val="32"/>
      <w:color w:val="E52B20"/>
    </w:rPr>
  </w:style>
  <w:style w:styleId="Heading2" w:type="paragraph">
    <w:name w:val="heading 2"/>
    <w:basedOn w:val="Normal"/>
    <w:uiPriority w:val="9"/>
    <w:qFormat/>
    <w:pPr>
      <w:spacing w:after="100" w:before="200"/>
    </w:pPr>
    <w:rPr>
      <w:rFonts w:ascii="Latin Modern Sans" w:cs="Latin Modern Sans" w:hAnsi="Latin Modern Sans"/>
      <w:b/>
      <w:sz w:val="28"/>
      <w:color w:val="1F4E79"/>
    </w:rPr>
  </w:style>
  <w:style w:styleId="CDCollectionTitle" w:type="paragraph">
    <w:name w:val="CD Collection Title"/>
    <w:basedOn w:val="Normal"/>
    <w:qFormat/>
    <w:pPr>
      <w:jc w:val="center"/>
      <w:spacing w:after="160" w:before="120"/>
    </w:pPr>
    <w:rPr>
      <w:rFonts w:ascii="Latin Modern Sans" w:cs="Latin Modern Sans" w:hAnsi="Latin Modern Sans"/>
      <w:b/>
      <w:sz w:val="24"/>
      <w:color w:val="E52B20"/>
    </w:rPr>
  </w:style>
  <w:style w:styleId="CDRed" w:type="character">
    <w:name w:val="CD Red"/>
    <w:rPr>
      <w:color w:val="E52B20"/>
    </w:rPr>
  </w:style>
  <w:style w:styleId="CDBlue" w:type="character">
    <w:name w:val="CD Blue"/>
    <w:rPr>
      <w:color w:val="1F4E79"/>
    </w:rPr>
  </w:style>
  <w:style w:styleId="CDGreen" w:type="character">
    <w:name w:val="CD Green"/>
    <w:rPr>
      <w:color w:val="5AA244"/>
    </w:rPr>
  </w:style>
  <w:style w:styleId="CDPurple" w:type="character">
    <w:name w:val="CD Purple"/>
    <w:rPr>
      <w:color w:val="7A1FA2"/>
    </w:rPr>
  </w:style>
  <w:style w:styleId="CDPrompt" w:type="paragraph">
    <w:name w:val="CD Prompt"/>
    <w:basedOn w:val="Normal"/>
    <w:qFormat/>
    <w:pPr>
      <w:spacing w:after="160" w:before="120"/>
      <w:pBdr>
        <w:top w:color="E52B20" w:space="2" w:sz="8" w:val="single"/>
        <w:left w:color="E52B20" w:space="2" w:sz="8" w:val="single"/>
        <w:bottom w:color="E52B20" w:space="2" w:sz="8" w:val="single"/>
        <w:right w:color="E52B20" w:space="2" w:sz="8" w:val="single"/>
      </w:pBdr>
      <w:shd w:color="auto" w:fill="FDECEC" w:val="clear"/>
      <w:ind w:left="200" w:right="200"/>
    </w:pPr>
    <w:rPr>
      <w:rFonts w:ascii="Latin Modern Sans" w:cs="Latin Modern Sans" w:hAnsi="Latin Modern Sans"/>
      <w:i/>
    </w:rPr>
  </w:style>
  <w:style w:styleId="CDListeningSection" w:type="paragraph">
    <w:name w:val="CD Listening Section"/>
    <w:basedOn w:val="Normal"/>
    <w:qFormat/>
    <w:pPr>
      <w:spacing w:after="160" w:before="120"/>
      <w:pBdr>
        <w:top w:color="1F4E79" w:space="3" w:sz="12" w:val="single"/>
        <w:left w:color="1F4E79" w:space="3" w:sz="12" w:val="single"/>
        <w:bottom w:color="1F4E79" w:space="3" w:sz="12" w:val="single"/>
        <w:right w:color="1F4E79" w:space="3" w:sz="12" w:val="single"/>
      </w:pBdr>
      <w:shd w:color="auto" w:fill="EBF3FA" w:val="clear"/>
      <w:ind w:left="240" w:right="240"/>
    </w:pPr>
    <w:rPr>
      <w:rFonts w:ascii="Georgia" w:cs="Georgia" w:hAnsi="Georgia"/>
    </w:rPr>
  </w:style>
  <w:style w:styleId="CDSection" w:type="paragraph">
    <w:name w:val="CD Section"/>
    <w:basedOn w:val="Normal"/>
    <w:qFormat/>
    <w:pPr>
      <w:spacing w:after="120" w:before="160"/>
      <w:pBdr>
        <w:left w:color="E52B20" w:space="2" w:sz="24" w:val="single"/>
      </w:pBdr>
      <w:shd w:color="auto" w:fill="F2F2F2" w:val="clear"/>
      <w:ind w:left="240"/>
    </w:pPr>
    <w:rPr>
      <w:rFonts w:ascii="Latin Modern Sans" w:cs="Latin Modern Sans" w:hAnsi="Latin Modern Sans"/>
      <w:b/>
      <w:color w:val="E52B20"/>
      <w:sz w:val="26"/>
    </w:rPr>
  </w:style>
  <w:style w:styleId="CDStep" w:type="paragraph">
    <w:name w:val="CD Step"/>
    <w:basedOn w:val="Normal"/>
    <w:qFormat/>
    <w:pPr>
      <w:spacing w:after="120" w:before="180"/>
      <w:pBdr>
        <w:left w:color="1F4E79" w:space="2" w:sz="24" w:val="single"/>
      </w:pBdr>
      <w:shd w:color="auto" w:fill="EAF2FB" w:val="clear"/>
      <w:ind w:left="240"/>
    </w:pPr>
    <w:rPr>
      <w:rFonts w:ascii="Latin Modern Sans" w:cs="Latin Modern Sans" w:hAnsi="Latin Modern Sans"/>
      <w:b/>
      <w:color w:val="1F4E79"/>
      <w:sz w:val="24"/>
    </w:rPr>
  </w:style>
  <w:style w:styleId="CDGreenHeading" w:type="paragraph">
    <w:name w:val="CD Green Heading"/>
    <w:basedOn w:val="Normal"/>
    <w:qFormat/>
    <w:pPr>
      <w:spacing w:after="80" w:before="120"/>
      <w:pBdr>
        <w:left w:color="5AA244" w:space="2" w:sz="24" w:val="single"/>
      </w:pBdr>
      <w:shd w:color="auto" w:fill="F1F8EE" w:val="clear"/>
      <w:ind w:left="240"/>
    </w:pPr>
    <w:rPr>
      <w:rFonts w:ascii="Latin Modern Sans" w:cs="Latin Modern Sans" w:hAnsi="Latin Modern Sans"/>
      <w:b/>
      <w:color w:val="5AA244"/>
      <w:sz w:val="24"/>
    </w:rPr>
  </w:style>
  <w:style w:styleId="CDNote" w:type="paragraph">
    <w:name w:val="CD Note"/>
    <w:basedOn w:val="Normal"/>
    <w:qFormat/>
    <w:pPr>
      <w:spacing w:after="120" w:before="120" w:line="276" w:lineRule="auto"/>
      <w:pBdr>
        <w:left w:color="7A1FA2" w:space="6" w:sz="24" w:val="single"/>
      </w:pBdr>
      <w:shd w:color="auto" w:fill="F6F0FA" w:val="clear"/>
      <w:ind w:left="360" w:right="240"/>
    </w:pPr>
    <w:rPr>
      <w:rFonts w:ascii="Latin Modern Sans" w:cs="Latin Modern Sans" w:hAnsi="Latin Modern Sans"/>
      <w:b/>
      <w:color w:val="7A1FA2"/>
      <w:sz w:val="24"/>
    </w:rPr>
  </w:style>
  <w:style w:styleId="CDQuestion" w:type="paragraph">
    <w:name w:val="CDQuestion"/>
    <w:basedOn w:val="Normal"/>
    <w:qFormat/>
    <w:pPr>
      <w:spacing w:after="0" w:before="0"/>
    </w:pPr>
    <w:rPr>
      <w:rFonts w:ascii="Georgia" w:cs="Georgia" w:hAnsi="Georgia"/>
    </w:rPr>
  </w:style>
  <w:style w:styleId="CDVocabTable" w:type="table">
    <w:name w:val="CDVocabTable"/>
    <w:basedOn w:val="TableNormal"/>
    <w:tblPr>
      <w:tblW w:type="pct" w:w="5000"/>
      <w:tblInd w:type="dxa" w:w="240"/>
      <w:tblLayout w:type="autofit"/>
      <w:tblBorders>
        <w:top w:color="BFBFBF" w:space="0" w:sz="10" w:val="single"/>
        <w:left w:color="BFBFBF" w:space="0" w:sz="10" w:val="single"/>
        <w:bottom w:color="BFBFBF" w:space="0" w:sz="10" w:val="single"/>
        <w:right w:color="BFBFBF" w:space="0" w:sz="10" w:val="single"/>
        <w:insideH w:color="D0D0D0" w:space="0" w:sz="8" w:val="single"/>
        <w:insideV w:color="D0D0D0" w:space="0" w:sz="8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Row">
      <w:tcPr>
        <w:shd w:color="auto" w:fill="1F4E79" w:val="clear"/>
      </w:tcPr>
      <w:rPr>
        <w:rFonts w:ascii="Latin Modern Sans" w:cs="Latin Modern Sans" w:hAnsi="Latin Modern Sans"/>
        <w:b/>
        <w:color w:val="FFFFFF"/>
      </w:rPr>
    </w:tblStylePr>
  </w:style>
  <w:style w:styleId="CDOptionTable" w:type="table">
    <w:name w:val="CDOptionTable"/>
    <w:basedOn w:val="TableNormal"/>
    <w:tblPr>
      <w:tblW w:type="pct" w:w="3200"/>
      <w:jc w:val="center"/>
      <w:tblBorders>
        <w:top w:color="1F4E79" w:space="0" w:sz="10" w:val="single"/>
        <w:left w:color="1F4E79" w:space="0" w:sz="10" w:val="single"/>
        <w:bottom w:color="1F4E79" w:space="0" w:sz="10" w:val="single"/>
        <w:right w:color="1F4E79" w:space="0" w:sz="10" w:val="single"/>
        <w:insideH w:color="D0D0D0" w:space="0" w:sz="6" w:val="single"/>
        <w:insideV w:color="D0D0D0" w:space="0" w:sz="6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Column">
      <w:rPr>
        <w:rFonts w:ascii="Latin Modern Sans" w:cs="Latin Modern Sans" w:hAnsi="Latin Modern Sans"/>
        <w:b/>
        <w:color w:val="1F4E79"/>
      </w:rPr>
    </w:tblStylePr>
  </w:style>
  <w:style w:styleId="CDChoiceTable" w:type="table">
    <w:name w:val="CDChoiceTable"/>
    <w:basedOn w:val="TableNormal"/>
    <w:tblPr>
      <w:tblW w:type="pct" w:w="5000"/>
      <w:tblInd w:type="dxa" w:w="240"/>
      <w:tblLayout w:type="autofit"/>
      <w:tblBorders>
        <w:top w:color="1F4E79" w:space="0" w:sz="10" w:val="single"/>
        <w:left w:color="1F4E79" w:space="0" w:sz="10" w:val="single"/>
        <w:bottom w:color="1F4E79" w:space="0" w:sz="10" w:val="single"/>
        <w:right w:color="1F4E79" w:space="0" w:sz="10" w:val="single"/>
        <w:insideH w:color="D0D0D0" w:space="0" w:sz="6" w:val="single"/>
        <w:insideV w:color="D0D0D0" w:space="0" w:sz="6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Column">
      <w:rPr>
        <w:rFonts w:ascii="Latin Modern Sans" w:cs="Latin Modern Sans" w:hAnsi="Latin Modern Sans"/>
        <w:b/>
        <w:color w:val="1F4E79"/>
      </w:rPr>
    </w:tblStylePr>
    <w:tblStylePr w:type="firstRow">
      <w:rPr>
        <w:rFonts w:ascii="Latin Modern Sans" w:cs="Latin Modern Sans" w:hAnsi="Latin Modern Sans"/>
        <w:b/>
      </w:rPr>
    </w:tblStylePr>
  </w:style>
  <w:style w:styleId="CDAnswerKeyTable" w:type="table">
    <w:name w:val="CDAnswerKeyTable"/>
    <w:basedOn w:val="TableNormal"/>
    <w:tblPr>
      <w:tblW w:type="pct" w:w="5000"/>
      <w:tblInd w:type="dxa" w:w="240"/>
      <w:tblLayout w:type="autofit"/>
      <w:tblBorders>
        <w:top w:color="1F4E79" w:space="0" w:sz="10" w:val="single"/>
        <w:left w:color="1F4E79" w:space="0" w:sz="10" w:val="single"/>
        <w:bottom w:color="1F4E79" w:space="0" w:sz="10" w:val="single"/>
        <w:right w:color="1F4E79" w:space="0" w:sz="10" w:val="single"/>
        <w:insideH w:color="D0D0D0" w:space="0" w:sz="6" w:val="single"/>
        <w:insideV w:color="D0D0D0" w:space="0" w:sz="6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Row">
      <w:tcPr>
        <w:shd w:color="auto" w:fill="1F4E79" w:val="clear"/>
      </w:tcPr>
      <w:rPr>
        <w:rFonts w:ascii="Latin Modern Sans" w:cs="Latin Modern Sans" w:hAnsi="Latin Modern Sans"/>
        <w:b/>
        <w:color w:val="FFFFFF"/>
      </w:rPr>
    </w:tblStylePr>
    <w:tblStylePr w:type="firstColumn">
      <w:rPr>
        <w:rFonts w:ascii="Latin Modern Sans" w:cs="Latin Modern Sans" w:hAnsi="Latin Modern Sans"/>
        <w:b/>
        <w:color w:val="1F4E79"/>
      </w:rPr>
    </w:tblStylePr>
  </w:style>
  <w:style w:styleId="CDReadingVocabTable" w:type="table">
    <w:name w:val="CDReadingVocabTable"/>
    <w:basedOn w:val="TableNormal"/>
    <w:tblPr>
      <w:tblW w:type="pct" w:w="5000"/>
      <w:tblInd w:type="dxa" w:w="240"/>
      <w:tblLayout w:type="autofit"/>
      <w:tblBorders>
        <w:top w:color="BFBFBF" w:space="0" w:sz="10" w:val="single"/>
        <w:left w:color="BFBFBF" w:space="0" w:sz="10" w:val="single"/>
        <w:bottom w:color="BFBFBF" w:space="0" w:sz="10" w:val="single"/>
        <w:right w:color="BFBFBF" w:space="0" w:sz="10" w:val="single"/>
        <w:insideH w:color="D0D0D0" w:space="0" w:sz="8" w:val="single"/>
        <w:insideV w:color="D0D0D0" w:space="0" w:sz="8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Row">
      <w:tcPr>
        <w:shd w:color="auto" w:fill="1F4E79" w:val="clear"/>
      </w:tcPr>
      <w:rPr>
        <w:rFonts w:ascii="Latin Modern Sans" w:cs="Latin Modern Sans" w:hAnsi="Latin Modern Sans"/>
        <w:b/>
        <w:color w:val="FFFFFF"/>
      </w:rPr>
    </w:tblStylePr>
  </w:style>
  <w:style w:styleId="CDAnswerTable" w:type="table">
    <w:name w:val="CDAnswerTable"/>
    <w:basedOn w:val="TableNormal"/>
    <w:tblPr>
      <w:tblW w:type="pct" w:w="5000"/>
      <w:tblInd w:type="dxa" w:w="240"/>
      <w:tblLayout w:type="autofit"/>
      <w:tblBorders>
        <w:top w:color="BFBFBF" w:space="0" w:sz="10" w:val="single"/>
        <w:left w:color="BFBFBF" w:space="0" w:sz="10" w:val="single"/>
        <w:bottom w:color="BFBFBF" w:space="0" w:sz="10" w:val="single"/>
        <w:right w:color="BFBFBF" w:space="0" w:sz="10" w:val="single"/>
        <w:insideH w:color="D0D0D0" w:space="0" w:sz="8" w:val="single"/>
        <w:insideV w:color="D0D0D0" w:space="0" w:sz="8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Row">
      <w:tcPr>
        <w:shd w:color="auto" w:fill="1F4E79" w:val="clear"/>
      </w:tcPr>
      <w:rPr>
        <w:rFonts w:ascii="Latin Modern Sans" w:cs="Latin Modern Sans" w:hAnsi="Latin Modern Sans"/>
        <w:b/>
        <w:color w:val="FFFFFF"/>
      </w:rPr>
    </w:tblStylePr>
  </w:style>
  <w:style w:styleId="CDTranscriptTable" w:type="table">
    <w:name w:val="CDTranscriptTable"/>
    <w:basedOn w:val="TableNormal"/>
    <w:tblPr>
      <w:tblW w:type="pct" w:w="5000"/>
      <w:tblInd w:type="dxa" w:w="240"/>
      <w:tblLayout w:type="fixed"/>
      <w:tblBorders>
        <w:top w:color="BFBFBF" w:space="0" w:sz="10" w:val="single"/>
        <w:left w:color="BFBFBF" w:space="0" w:sz="10" w:val="single"/>
        <w:bottom w:color="BFBFBF" w:space="0" w:sz="10" w:val="single"/>
        <w:right w:color="BFBFBF" w:space="0" w:sz="10" w:val="single"/>
        <w:insideH w:color="D0D0D0" w:space="0" w:sz="8" w:val="single"/>
        <w:insideV w:color="D0D0D0" w:space="0" w:sz="8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Row">
      <w:tcPr>
        <w:shd w:color="auto" w:fill="1F4E79" w:val="clear"/>
      </w:tcPr>
      <w:rPr>
        <w:rFonts w:ascii="Latin Modern Sans" w:cs="Latin Modern Sans" w:hAnsi="Latin Modern Sans"/>
        <w:b/>
        <w:color w:val="FFFFFF"/>
      </w:rPr>
    </w:tblStylePr>
    <w:tblStylePr w:type="band1Horz">
      <w:tcPr>
        <w:shd w:color="auto" w:fill="F5F5F5" w:val="clear"/>
      </w:tcPr>
    </w:tblStylePr>
  </w:style>
  <w:style w:styleId="CDListeningSectionContainer" w:type="table">
    <w:name w:val="CDListeningSectionContainer"/>
    <w:basedOn w:val="TableNormal"/>
    <w:tblPr>
      <w:tblW w:type="pct" w:w="5000"/>
      <w:tblLayout w:type="autofit"/>
      <w:tblBorders>
        <w:top w:color="E52B20" w:shadow="1" w:space="0" w:sz="12" w:val="single"/>
        <w:left w:color="E52B20" w:shadow="1" w:space="0" w:sz="12" w:val="single"/>
        <w:bottom w:color="E52B20" w:shadow="1" w:space="0" w:sz="16" w:val="double"/>
        <w:right w:color="E52B20" w:shadow="1" w:space="0" w:sz="12" w:val="single"/>
      </w:tblBorders>
      <w:shd w:color="auto" w:fill="D6E9F8" w:val="clear"/>
      <w:tblCellMar>
        <w:top w:type="dxa" w:w="280"/>
        <w:left w:type="dxa" w:w="280"/>
        <w:bottom w:type="dxa" w:w="280"/>
        <w:right w:type="dxa" w:w="280"/>
      </w:tblCellMar>
    </w:tblPr>
  </w:style>
  <w:style w:styleId="CDListeningSectionHeader" w:type="paragraph">
    <w:name w:val="CD Listening Section Header"/>
    <w:basedOn w:val="Heading1"/>
    <w:qFormat/>
    <w:pPr>
      <w:spacing w:after="120" w:before="240"/>
      <w:jc w:val="center"/>
    </w:pPr>
    <w:rPr>
      <w:rFonts w:ascii="Latin Modern Sans" w:cs="Latin Modern Sans" w:hAnsi="Latin Modern Sans"/>
      <w:b/>
      <w:color w:val="1F4E79"/>
      <w:sz w:val="28"/>
    </w:rPr>
  </w:style>
  <w:style w:styleId="CDTranscriptSection" w:type="paragraph">
    <w:name w:val="CD Transcript Section"/>
    <w:basedOn w:val="Normal"/>
    <w:qFormat/>
    <w:pPr>
      <w:spacing w:after="80" w:before="160"/>
    </w:pPr>
    <w:rPr>
      <w:rFonts w:ascii="Latin Modern Sans" w:cs="Latin Modern Sans" w:hAnsi="Latin Modern Sans"/>
      <w:color w:val="1F4E79"/>
      <w:sz w:val="24"/>
    </w:rPr>
  </w:style>
  <w:style w:styleId="CDTranscriptContent" w:type="paragraph">
    <w:name w:val="CD Transcript Content"/>
    <w:basedOn w:val="Normal"/>
    <w:qFormat/>
    <w:pPr>
      <w:spacing w:after="120" w:before="0"/>
    </w:pPr>
    <w:rPr>
      <w:rFonts w:ascii="Georgia" w:cs="Georgia" w:hAnsi="Georgia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1" Target="numbering.xml" /><Relationship Type="http://schemas.openxmlformats.org/officeDocument/2006/relationships/styles" Id="rId10" Target="styles.xml" /><Relationship Type="http://schemas.openxmlformats.org/officeDocument/2006/relationships/settings" Id="rId9" Target="settings.xml" /><Relationship Type="http://schemas.openxmlformats.org/officeDocument/2006/relationships/webSettings" Id="rId8" Target="webSettings.xml" /><Relationship Type="http://schemas.openxmlformats.org/officeDocument/2006/relationships/fontTable" Id="rId7" Target="fontTable.xml" /><Relationship Type="http://schemas.openxmlformats.org/officeDocument/2006/relationships/theme" Id="rId6" Target="theme/theme1.xml" /><Relationship Type="http://schemas.openxmlformats.org/officeDocument/2006/relationships/footnotes" Id="rId5" Target="footnotes.xml" /><Relationship Type="http://schemas.openxmlformats.org/officeDocument/2006/relationships/comments" Id="rId4" Target="comments.xml" /><Relationship Id="rId1" Target="header1.xml" Type="http://schemas.openxmlformats.org/officeDocument/2006/relationships/header" /><Relationship Id="rId2" Target="header2.xml" Type="http://schemas.openxmlformats.org/officeDocument/2006/relationships/header" /><Relationship Id="rId3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
<Relationships xmlns="http://schemas.openxmlformats.org/package/2006/relationships">
  <Relationship Id="rId1" Type="http://schemas.openxmlformats.org/officeDocument/2006/relationships/image" Target="media/logoTF.png"/>
</Relationships>

</file>

<file path=word/_rels/header2.xml.rels><?xml version="1.0" encoding="UTF-8" standalone="yes"?>
<Relationships xmlns="http://schemas.openxmlformats.org/package/2006/relationships">
  <Relationship Id="rId1" Type="http://schemas.openxmlformats.org/officeDocument/2006/relationships/image" Target="media/logoTF.pn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E79"/>
      </a:dk2>
      <a:lt2>
        <a:srgbClr val="E52B20"/>
      </a:lt2>
      <a:accent1>
        <a:srgbClr val="E52B20"/>
      </a:accent1>
      <a:accent2>
        <a:srgbClr val="1F4E79"/>
      </a:accent2>
      <a:accent3>
        <a:srgbClr val="5AA244"/>
      </a:accent3>
      <a:accent4>
        <a:srgbClr val="7A1FA2"/>
      </a:accent4>
      <a:accent5>
        <a:srgbClr val="666666"/>
      </a:accent5>
      <a:accent6>
        <a:srgbClr val="999999"/>
      </a:accent6>
      <a:hlink>
        <a:srgbClr val="1F4E79"/>
      </a:hlink>
      <a:folHlink>
        <a:srgbClr val="7A1FA2"/>
      </a:folHlink>
    </a:clrScheme>
    <a:fontScheme name="Office">
      <a:majorFont>
        <a:latin typeface="Latin Modern Sans"/>
      </a:majorFont>
      <a:minorFont>
        <a:latin typeface="Georgia"/>
      </a:minorFont>
    </a:fontScheme>
    <a:fmtScheme name="Office"/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Codex CLI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CHUYÊN ĐỀ WRITING</dc:title>
  <dc:creator/>
  <cp:keywords/>
  <dcterms:created xsi:type="dcterms:W3CDTF">2026-04-02T14:51:32Z</dcterms:created>
  <dcterms:modified xsi:type="dcterms:W3CDTF">2026-04-02T14:51:32Z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evel">
    <vt:lpwstr>3</vt:lpwstr>
  </property>
  <property fmtid="{D5CDD505-2E9C-101B-9397-08002B2CF9AE}" pid="3" name="skill">
    <vt:lpwstr>Writing</vt:lpwstr>
  </property>
  <property fmtid="{D5CDD505-2E9C-101B-9397-08002B2CF9AE}" pid="4" name="week">
    <vt:lpwstr>13</vt:lpwstr>
  </property>
</Properties>
</file>