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W4 (Jan 19-25)</ns0:t>
      </ns0:r>
    </ns0:p>
    <ns0:p>
      <ns0:pPr>
        <ns0:pStyle ns0:val="CDCollectionTitle"/>
      </ns0:pPr>
      <ns0:r>
        <ns0:t xml:space="preserve">Level 3 — W4 (Jan 19-25)</ns0:t>
      </ns0:r>
    </ns0:p>
    <ns0:p>
      <ns0:pPr>
        <ns0:pStyle ns0:val="CDPrompt"/>
      </ns0:pPr>
      <ns0:r>
        <ns0:t xml:space="preserve">The graphs show figures relating to hours worked and stress levels amongst professionals in eight groups.</ns0:t>
      </ns0:r>
    </ns0:p>
    <ns0:p>
      <ns0:pPr>
        <ns0:pStyle ns0:val="BodyText"/>
      </ns0:pP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2026-01-27T07:17:32Z</dcterms:created>
  <dcterms:modified xsi:type="dcterms:W3CDTF">2026-01-27T07:17:32Z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