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The Pie chart gives information about the country of birth of people living in Australia and the table shows where people born in these countries live.</ns0:t>
      </ns0:r>
    </ns0:p>
    <ns0:bookmarkStart ns0:id="14" ns0:name="Xb9019fe01f85a588781cc1541b53ba836d04fa4"/>
    <ns0:p>
      <ns0:pPr>
        <ns0:pStyle ns0:val="Heading2"/>
      </ns0:pPr>
      <ns0:r>
        <ns0:t xml:space="preserve">Phần I. Phân tích đề bài và xây dựng chiến lược</ns0:t>
      </ns0:r>
    </ns0:p>
    <ns0:p>
      <ns0:pPr>
        <ns0:pStyle ns0:val="CDSection"/>
      </ns0:pPr>
      <ns0:r>
        <ns0:t xml:space="preserve">Dạng bài kết hợp giữa Biểu đồ tròn (Pie chart) và Bảng (Table) yêu cầu thí sinh không chỉ đọc hiểu số liệu tĩnh (không có sự thay đổi theo thời gian) mà còn phải tìm ra mối liên hệ hoặc điểm tương đồng/khác biệt giữa hai tập hợp dữ liệu. Chìa khóa cho Band 6.0+ là khả năng nhóm thông tin thông minh và tránh liệt kê số liệu một cách máy móc.</ns0:t>
      </ns0:r>
    </ns0:p>
    <ns0:bookmarkStart ns0:id="12" ns0:name="X956700288d4af29924abeffb93fff4e951f0b6b"/>
    <ns0:p>
      <ns0:pPr>
        <ns0:pStyle ns0:val="Heading3"/>
      </ns0:pPr>
      <ns0:r>
        <ns0:t xml:space="preserve">Bước 1: Giải mã các thành phần của biểu đồ</ns0:t>
      </ns0:r>
    </ns0:p>
    <ns0:p>
      <ns0:pPr>
        <ns0:pStyle ns0:val="CDStep"/>
      </ns0:pPr>
      <ns0:r>
        <ns0:t xml:space="preserve">Trước hết, cần xác định rõ các yếu tố cấu thành của từng biểu đồ:</ns0:t>
      </ns0:r>
    </ns0:p>
    <ns0:p>
      <ns0:pPr>
        <ns0:pStyle ns0:val="Compact"/>
        <ns0:numPr>
          <ns0:ilvl ns0:val="0"/>
          <ns0:numId ns0:val="1001"/>
        </ns0:numPr>
      </ns0:pPr>
      <ns0:r>
        <ns0:rPr>
          <ns0:b/>
          <ns0:bCs/>
        </ns0:rPr>
        <ns0:t xml:space="preserve">Đối tượng so sánh:</ns0:t>
      </ns0:r>
      <ns0:r>
        <ns0:t xml:space="preserve"> </ns0:t>
      </ns0:r>
      <ns0:r>
        <ns0:t xml:space="preserve">Những người đang sinh sống tại Úc (People living in Australia) dựa trên quốc gia nơi họ sinh ra.</ns0:t>
      </ns0:r>
    </ns0:p>
    <ns0:p>
      <ns0:pPr>
        <ns0:pStyle ns0:val="Compact"/>
        <ns0:numPr>
          <ns0:ilvl ns0:val="0"/>
          <ns0:numId ns0:val="1001"/>
        </ns0:numPr>
      </ns0:pPr>
      <ns0:r>
        <ns0:rPr>
          <ns0:rStyle ns0:val="CDBlue"/>
          <ns0:b/>
          <ns0:bCs/>
        </ns0:rPr>
        <ns0:t xml:space="preserve">Các tham số đo lường</ns0:t>
      </ns0:r>
      <ns0:r>
        <ns0:rPr>
          <ns0:b/>
          <ns0:bCs/>
        </ns0:rPr>
        <ns0:t xml:space="preserve">:</ns0:t>
      </ns0:r>
    </ns0:p>
    <ns0:p>
      <ns0:pPr>
        <ns0:pStyle ns0:val="Compact"/>
        <ns0:numPr>
          <ns0:ilvl ns0:val="1"/>
          <ns0:numId ns0:val="1002"/>
        </ns0:numPr>
      </ns0:pPr>
      <ns0:r>
        <ns0:rPr>
          <ns0:b/>
          <ns0:bCs/>
        </ns0:rPr>
        <ns0:t xml:space="preserve">Biểu đồ tròn (Pie chart):</ns0:t>
      </ns0:r>
      <ns0:r>
        <ns0:t xml:space="preserve"> </ns0:t>
      </ns0:r>
      <ns0:r>
        <ns0:t xml:space="preserve">Thể hiện tỷ lệ phần trăm dân số sống tại Úc chia theo quốc gia gốc (Úc, Anh, New Zealand, Trung Quốc, Hà Lan, và Khác).</ns0:t>
      </ns0:r>
    </ns0:p>
    <ns0:p>
      <ns0:pPr>
        <ns0:pStyle ns0:val="Compact"/>
        <ns0:numPr>
          <ns0:ilvl ns0:val="1"/>
          <ns0:numId ns0:val="1002"/>
        </ns0:numPr>
      </ns0:pPr>
      <ns0:r>
        <ns0:rPr>
          <ns0:b/>
          <ns0:bCs/>
        </ns0:rPr>
        <ns0:t xml:space="preserve">Bảng (Table):</ns0:t>
      </ns0:r>
      <ns0:r>
        <ns0:t xml:space="preserve"> </ns0:t>
      </ns0:r>
      <ns0:r>
        <ns0:t xml:space="preserve">Thể hiện tỷ lệ phân bố nơi cư trú (Thành thị - Cities vs. Nông thôn - Rural areas) của những nhóm dân cư đến từ 5 quốc gia cụ thể nêu trên.</ns0:t>
      </ns0:r>
    </ns0:p>
    <ns0:p>
      <ns0:pPr>
        <ns0:pStyle ns0:val="Compact"/>
        <ns0:numPr>
          <ns0:ilvl ns0:val="0"/>
          <ns0:numId ns0:val="1001"/>
        </ns0:numPr>
      </ns0:pPr>
      <ns0:r>
        <ns0:rPr>
          <ns0:b/>
          <ns0:bCs/>
        </ns0:rPr>
        <ns0:t xml:space="preserve">Khung thời gian:</ns0:t>
      </ns0:r>
      <ns0:r>
        <ns0:t xml:space="preserve"> </ns0:t>
      </ns0:r>
      <ns0:r>
        <ns0:t xml:space="preserve">Không có năm cụ thể (sử dụng thì Hiện tại đơn).</ns0:t>
      </ns0:r>
    </ns0:p>
    <ns0:bookmarkEnd ns0:id="12"/>
    <ns0:bookmarkStart ns0:id="13" ns0:name="X543b89863b59460bb9d7b48fb3a737f36fb78f6"/>
    <ns0:p>
      <ns0:pPr>
        <ns0:pStyle ns0:val="Heading3"/>
      </ns0:pPr>
      <ns0:r>
        <ns0:t xml:space="preserve">Bước 2: Xác định các đặc điểm chính cho phần Tổng quan (Overview)</ns0:t>
      </ns0:r>
    </ns0:p>
    <ns0:p>
      <ns0:pPr>
        <ns0:pStyle ns0:val="CDStep"/>
      </ns0:pPr>
      <ns0:r>
        <ns0:t xml:space="preserve">Để đạt band cao, phần Overview cần khái quát được bức tranh toàn cảnh từ cả hai biểu đồ mà không đưa số liệu cụ thể vào.</ns0:t>
      </ns0:r>
    </ns0:p>
    <ns0:p>
      <ns0:pPr>
        <ns0:pStyle ns0:val="Compact"/>
        <ns0:numPr>
          <ns0:ilvl ns0:val="0"/>
          <ns0:numId ns0:val="1003"/>
        </ns0:numPr>
      </ns0:pPr>
      <ns0:r>
        <ns0:rPr>
          <ns0:rStyle ns0:val="CDBlue"/>
          <ns0:b/>
          <ns0:bCs/>
        </ns0:rPr>
        <ns0:t xml:space="preserve">Từ Biểu đồ tròn (Quốc gia gốc)</ns0:t>
      </ns0:r>
      <ns0:r>
        <ns0:rPr>
          <ns0:b/>
          <ns0:bCs/>
        </ns0:rPr>
        <ns0:t xml:space="preserve">:</ns0:t>
      </ns0:r>
    </ns0:p>
    <ns0:p>
      <ns0:pPr>
        <ns0:pStyle ns0:val="Compact"/>
        <ns0:numPr>
          <ns0:ilvl ns0:val="1"/>
          <ns0:numId ns0:val="1004"/>
        </ns0:numPr>
      </ns0:pPr>
      <ns0:r>
        <ns0:t xml:space="preserve">Nhóm nào chiếm ưu thế tuyệt đối? (→ Người sinh ra tại Úc chiếm đại đa số).</ns0:t>
      </ns0:r>
    </ns0:p>
    <ns0:p>
      <ns0:pPr>
        <ns0:pStyle ns0:val="Compact"/>
        <ns0:numPr>
          <ns0:ilvl ns0:val="1"/>
          <ns0:numId ns0:val="1004"/>
        </ns0:numPr>
      </ns0:pPr>
      <ns0:r>
        <ns0:t xml:space="preserve">Trong số những người nhập cư, nhóm nào lớn nhất? (→ Người đến từ Anh - UK).</ns0:t>
      </ns0:r>
    </ns0:p>
    <ns0:p>
      <ns0:pPr>
        <ns0:pStyle ns0:val="Compact"/>
        <ns0:numPr>
          <ns0:ilvl ns0:val="0"/>
          <ns0:numId ns0:val="1003"/>
        </ns0:numPr>
      </ns0:pPr>
      <ns0:r>
        <ns0:rPr>
          <ns0:rStyle ns0:val="CDBlue"/>
          <ns0:b/>
          <ns0:bCs/>
        </ns0:rPr>
        <ns0:t xml:space="preserve">Từ Bảng (Nơi cư trú)</ns0:t>
      </ns0:r>
      <ns0:r>
        <ns0:rPr>
          <ns0:b/>
          <ns0:bCs/>
        </ns0:rPr>
        <ns0:t xml:space="preserve">:</ns0:t>
      </ns0:r>
    </ns0:p>
    <ns0:p>
      <ns0:pPr>
        <ns0:pStyle ns0:val="Compact"/>
        <ns0:numPr>
          <ns0:ilvl ns0:val="1"/>
          <ns0:numId ns0:val="1005"/>
        </ns0:numPr>
      </ns0:pPr>
      <ns0:r>
        <ns0:t xml:space="preserve">Xu hướng chung về nơi ở của tất cả các nhóm dân cư là gì? (→ Phần lớn mọi người, bất kể xuất xứ, đều chọn sống ở thành thị thay vì nông thôn).</ns0:t>
      </ns0:r>
    </ns0:p>
    <ns0:p>
      <ns0:pPr>
        <ns0:pStyle ns0:val="Compact"/>
        <ns0:numPr>
          <ns0:ilvl ns0:val="1"/>
          <ns0:numId ns0:val="1005"/>
        </ns0:numPr>
      </ns0:pPr>
      <ns0:r>
        <ns0:t xml:space="preserve">Có điểm gì đặc biệt/cực đoan ở nhóm nào không? (→ Người Trung Quốc có tỷ lệ sống ở thành thị cao nhất/gần như tuyệt đối).</ns0:t>
      </ns0:r>
    </ns0:p>
    <ns0:p>
      <ns0:pPr>
        <ns0:pStyle ns0:val="CDStep"/>
      </ns0:pPr>
      <ns0:r>
        <ns0:t xml:space="preserve">Từ những phân tích trên, ta có thể xây dựng một phần Tổng quan bao quát được cả hai khía cạnh: nguồn gốc dân số và xu hướng định cư.</ns0:t>
      </ns0:r>
    </ns0:p>
    <ns0:bookmarkEnd ns0:id="13"/>
    <ns0:bookmarkEnd ns0:id="14"/>
    <ns0:bookmarkStart ns0:id="19" ns0:name="phần-ii.-kiến-tạo-bài-báo-cáo-hoàn-chỉnh"/>
    <ns0:p>
      <ns0:pPr>
        <ns0:pStyle ns0:val="Heading2"/>
      </ns0:pPr>
      <ns0:r>
        <ns0:t xml:space="preserve">Phần II. Kiến tạo bài báo cáo hoàn chỉnh</ns0:t>
      </ns0:r>
    </ns0:p>
    <ns0:bookmarkStart ns0:id="15" ns0:name="mở-bài-introduction"/>
    <ns0:p>
      <ns0:pPr>
        <ns0:pStyle ns0:val="Heading3"/>
      </ns0:pPr>
      <ns0:r>
        <ns0:t xml:space="preserve">1. Mở bài (Introduction)</ns0:t>
      </ns0:r>
    </ns0:p>
    <ns0:p>
      <ns0:pPr>
        <ns0:pStyle ns0:val="Compact"/>
        <ns0:numPr>
          <ns0:ilvl ns0:val="0"/>
          <ns0:numId ns0:val="1006"/>
        </ns0:numPr>
      </ns0:pPr>
      <ns0:r>
        <ns0:rPr>
          <ns0:b/>
          <ns0:bCs/>
        </ns0:rPr>
        <ns0:t xml:space="preserve">Nhiệm vụ:</ns0:t>
      </ns0:r>
      <ns0:r>
        <ns0:t xml:space="preserve"> </ns0:t>
      </ns0:r>
      <ns0:r>
        <ns0:t xml:space="preserve">Paraphrase lại đề bài, gộp nội dung của cả hai biểu đồ vào 1-2 câu phức một cách tự nhiên.</ns0:t>
      </ns0:r>
    </ns0:p>
    <ns0:p>
      <ns0:pPr>
        <ns0:pStyle ns0:val="Compact"/>
        <ns0:numPr>
          <ns0:ilvl ns0:val="0"/>
          <ns0:numId ns0:val="1006"/>
        </ns0:numPr>
      </ns0:pPr>
      <ns0:r>
        <ns0:rPr>
          <ns0:b/>
          <ns0:bCs/>
        </ns0:rPr>
        <ns0:t xml:space="preserve">VD:</ns0:t>
      </ns0:r>
      <ns0:r>
        <ns0:t xml:space="preserve"> </ns0:t>
      </ns0:r>
      <ns0:r>
        <ns0:t xml:space="preserve">The provided pie chart illustrates the demographic breakdown of Australia’s population based on their countries of birth, while the accompanying table details the residential distribution of these specific nationalities between urban and rural areas.</ns0:t>
      </ns0:r>
    </ns0:p>
    <ns0:bookmarkEnd ns0:id="15"/>
    <ns0:bookmarkStart ns0:id="16" ns0:name="tổng-quan-overview"/>
    <ns0:p>
      <ns0:pPr>
        <ns0:pStyle ns0:val="Heading3"/>
      </ns0:pPr>
      <ns0:r>
        <ns0:t xml:space="preserve">2. Tổng quan (Overview)</ns0:t>
      </ns0:r>
    </ns0:p>
    <ns0:bookmarkEnd ns0:id="16"/>
    <ns0:bookmarkStart ns0:id="17" ns0:name="X293fb46b40d9c754854839ebe7b412738507db9"/>
    <ns0:p>
      <ns0:pPr>
        <ns0:pStyle ns0:val="Heading3"/>
      </ns0:pPr>
      <ns0:r>
        <ns0:t xml:space="preserve">Nhiệm vụ: Trình bày 2-3 nhận định nổi bật nhất đã phân tích ở Bước 2. Sử dụng các từ nối để tạo sự mạch lạc.</ns0:t>
      </ns0:r>
    </ns0:p>
    <ns0:p>
      <ns0:pPr>
        <ns0:pStyle ns0:val="Compact"/>
        <ns0:numPr>
          <ns0:ilvl ns0:val="0"/>
          <ns0:numId ns0:val="1007"/>
        </ns0:numPr>
      </ns0:pPr>
      <ns0:r>
        <ns0:rPr>
          <ns0:b/>
          <ns0:bCs/>
        </ns0:rPr>
        <ns0:t xml:space="preserve">VD:</ns0:t>
      </ns0:r>
      <ns0:r>
        <ns0:t xml:space="preserve"> </ns0:t>
      </ns0:r>
      <ns0:r>
        <ns0:t xml:space="preserve">Overall, it is evident that the vast majority of people residing in Australia were born locally. Furthermore, regardless of their country of origin, there is a overwhelming preference for urban living among all demographics, with Chinese immigrants showing the highest tendency to settle in cities.</ns0:t>
      </ns0:r>
    </ns0:p>
    <ns0:bookmarkEnd ns0:id="17"/>
    <ns0:bookmarkStart ns0:id="18" ns0:name="thân-bài-body-paragraphs"/>
    <ns0:p>
      <ns0:pPr>
        <ns0:pStyle ns0:val="Heading3"/>
      </ns0:pPr>
      <ns0:r>
        <ns0:t xml:space="preserve">3. Thân bài (Body Paragraphs)</ns0:t>
      </ns0:r>
    </ns0:p>
    <ns0:p>
      <ns0:pPr>
        <ns0:pStyle ns0:val="CDStep"/>
      </ns0:pPr>
      <ns0:r>
        <ns0:rPr>
          <ns0:b/>
          <ns0:bCs/>
        </ns0:rPr>
        <ns0:t xml:space="preserve">Chiến lược phân đoạn:</ns0:t>
      </ns0:r>
      <ns0:r>
        <ns0:t xml:space="preserve"> </ns0:t>
      </ns0:r>
      <ns0:r>
        <ns0:t xml:space="preserve">Cách tiếp cận logic nhất là chia theo từng biểu đồ. Đoạn 1 xử lý biểu đồ tròn (nhóm theo độ lớn của tỷ lệ), Đoạn 2 xử lý bảng (nhóm theo xu hướng phân bố).</ns0:t>
      </ns0:r>
    </ns0:p>
    <ns0:p>
      <ns0:pPr>
        <ns0:pStyle ns0:val="Compact"/>
        <ns0:numPr>
          <ns0:ilvl ns0:val="0"/>
          <ns0:numId ns0:val="1008"/>
        </ns0:numPr>
      </ns0:pPr>
      <ns0:r>
        <ns0:rPr>
          <ns0:b/>
          <ns0:bCs/>
        </ns0:rPr>
        <ns0:t xml:space="preserve">Đoạn Thân bài 1:</ns0:t>
      </ns0:r>
      <ns0:r>
        <ns0:t xml:space="preserve"> </ns0:t>
      </ns0:r>
      <ns0:r>
        <ns0:t xml:space="preserve">Phân tích Dữ liệu Biểu đồ tròn (Nguồn gốc dân số)</ns0:t>
      </ns0:r>
    </ns0:p>
    <ns0:p>
      <ns0:pPr>
        <ns0:pStyle ns0:val="Compact"/>
        <ns0:numPr>
          <ns0:ilvl ns0:val="1"/>
          <ns0:numId ns0:val="1009"/>
        </ns0:numPr>
      </ns0:pPr>
      <ns0:r>
        <ns0:rPr>
          <ns0:b/>
          <ns0:bCs/>
        </ns0:rPr>
        <ns0:t xml:space="preserve">Nhiệm vụ:</ns0:t>
      </ns0:r>
      <ns0:r>
        <ns0:t xml:space="preserve"> </ns0:t>
      </ns0:r>
      <ns0:r>
        <ns0:t xml:space="preserve">Báo cáo tỷ lệ phần trăm, bắt đầu từ phần lớn nhất, sau đó gộp các phần nhỏ lại để so sánh. Sử dụng ngôn ngữ chỉ sự chiếm lĩnh (account for, constitute, make up).</ns0:t>
      </ns0:r>
    </ns0:p>
    <ns0:p>
      <ns0:pPr>
        <ns0:pStyle ns0:val="Compact"/>
        <ns0:numPr>
          <ns0:ilvl ns0:val="1"/>
          <ns0:numId ns0:val="1009"/>
        </ns0:numPr>
      </ns0:pPr>
      <ns0:r>
        <ns0:rPr>
          <ns0:b/>
          <ns0:bCs/>
        </ns0:rPr>
        <ns0:t xml:space="preserve">VD:</ns0:t>
      </ns0:r>
      <ns0:r>
        <ns0:t xml:space="preserve"> </ns0:t>
      </ns0:r>
      <ns0:r>
        <ns0:t xml:space="preserve">Looking at the pie chart in detail, native-born Australians constitute the most significant proportion of the population, accounting for nearly three-quarters (73%) of the total. Among the expatriate communities, individuals born in the UK represent the largest minority group at 7%. The remaining specified nationalities—New Zealand, China, and the Netherlands—make up considerably smaller segments, comprising 3%, 2%, and a mere 1% respectively. Meanwhile, people originating from all other countries collectively account for 14% of Australia’s residents.</ns0:t>
      </ns0:r>
    </ns0:p>
    <ns0:p>
      <ns0:pPr>
        <ns0:pStyle ns0:val="Compact"/>
        <ns0:numPr>
          <ns0:ilvl ns0:val="0"/>
          <ns0:numId ns0:val="1008"/>
        </ns0:numPr>
      </ns0:pPr>
      <ns0:r>
        <ns0:rPr>
          <ns0:b/>
          <ns0:bCs/>
        </ns0:rPr>
        <ns0:t xml:space="preserve">Đoạn Thân bài 2:</ns0:t>
      </ns0:r>
      <ns0:r>
        <ns0:t xml:space="preserve"> </ns0:t>
      </ns0:r>
      <ns0:r>
        <ns0:t xml:space="preserve">Phân tích Dữ liệu Bảng (Phân bố nơi cư trú)</ns0:t>
      </ns0:r>
    </ns0:p>
    <ns0:p>
      <ns0:pPr>
        <ns0:pStyle ns0:val="Compact"/>
        <ns0:numPr>
          <ns0:ilvl ns0:val="1"/>
          <ns0:numId ns0:val="1010"/>
        </ns0:numPr>
      </ns0:pPr>
      <ns0:r>
        <ns0:rPr>
          <ns0:b/>
          <ns0:bCs/>
        </ns0:rPr>
        <ns0:t xml:space="preserve">Nhiệm vụ:</ns0:t>
      </ns0:r>
      <ns0:r>
        <ns0:t xml:space="preserve"> </ns0:t>
      </ns0:r>
      <ns0:r>
        <ns0:t xml:space="preserve">Báo cáo xu hướng định cư. Không liệt kê từng dòng. Hãy nhóm những quốc gia có tỷ lệ thành thị cực cao (&gt;90%) lại với nhau, sau đó so sánh với nhóm có tỷ lệ sống ở nông thôn cao hơn (dù thành thị vẫn chiếm ưu thế).</ns0:t>
      </ns0:r>
    </ns0:p>
    <ns0:p>
      <ns0:pPr>
        <ns0:pStyle ns0:val="Compact"/>
        <ns0:numPr>
          <ns0:ilvl ns0:val="1"/>
          <ns0:numId ns0:val="1010"/>
        </ns0:numPr>
      </ns0:pPr>
      <ns0:r>
        <ns0:rPr>
          <ns0:b/>
          <ns0:bCs/>
        </ns0:rPr>
        <ns0:t xml:space="preserve">VD:</ns0:t>
      </ns0:r>
      <ns0:r>
        <ns0:t xml:space="preserve"> </ns0:t>
      </ns0:r>
      <ns0:r>
        <ns0:t xml:space="preserve">Turning to the table, city dwelling is the dominant choice across all listed nationalities. This urbanization trend is most pronounced among Chinese immigrants, an overwhelming 99% of whom reside in cities, leaving only 1% in rural areas. Similarly, people from the Netherlands and the UK show a strong preference for urban environments, with 90% and 89% respectively choosing to live in cities. Conversely, native Australians and New Zealanders display a comparatively higher inclination towards rural living. Although the majority still reside in urban centers (83% and 80% respectively), they record the highest proportions of rural dwellers among the groups, at 17% and 20%.</ns0:t>
      </ns0:r>
    </ns0:p>
    <ns0:bookmarkEnd ns0:id="18"/>
    <ns0:bookmarkEnd ns0:id="19"/>
    <ns0:bookmarkStart ns0:id="22" ns0:name="phần-iii.-công-cụ-ngôn-ngữ"/>
    <ns0:p>
      <ns0:pPr>
        <ns0:pStyle ns0:val="Heading2"/>
      </ns0:pPr>
      <ns0:r>
        <ns0:t xml:space="preserve">Phần III. Công cụ ngôn ngữ</ns0:t>
      </ns0:r>
    </ns0:p>
    <ns0:bookmarkStart ns0:id="20" ns0:name="từ-vựng-nâng-cao"/>
    <ns0:p>
      <ns0:pPr>
        <ns0:pStyle ns0:val="Heading3"/>
      </ns0:pPr>
      <ns0:r>
        <ns0:t xml:space="preserve">1. Từ vựng nâng cao</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2433"/>
        <ns0:gridCol ns0:w="2433"/>
        <ns0:gridCol ns0:w="2433"/>
        <ns0:gridCol ns0:w="2433"/>
      </ns0:tblGrid>
      <ns0:tr>
        <ns0:trPr>
          <ns0:tblHeader ns0:val="on"/>
        </ns0:trPr>
        <ns0:tc>
          <ns0:tcPr/>
          <ns0:p>
            <ns0:pPr>
              <ns0:pStyle ns0:val="Compact"/>
            </ns0:pPr>
            <ns0:r>
              <ns0:t xml:space="preserve">Từ/ Cụm từ</ns0:t>
            </ns0:r>
          </ns0:p>
        </ns0:tc>
        <ns0:tc>
          <ns0:tcPr/>
          <ns0:p>
            <ns0:pPr>
              <ns0:pStyle ns0:val="Compact"/>
            </ns0:pPr>
            <ns0:r>
              <ns0:t xml:space="preserve">Từ loại</ns0:t>
            </ns0:r>
          </ns0:p>
        </ns0:tc>
        <ns0:tc>
          <ns0:tcPr/>
          <ns0:p>
            <ns0:pPr>
              <ns0:pStyle ns0:val="Compact"/>
            </ns0:pPr>
            <ns0:r>
              <ns0:t xml:space="preserve">Nghĩa tiếng Việt</ns0:t>
            </ns0:r>
          </ns0:p>
        </ns0:tc>
        <ns0:tc>
          <ns0:tcPr/>
          <ns0:p>
            <ns0:pPr>
              <ns0:pStyle ns0:val="Compact"/>
            </ns0:pPr>
            <ns0:r>
              <ns0:t xml:space="preserve">Ứng dụng trong bài</ns0:t>
            </ns0:r>
          </ns0:p>
        </ns0:tc>
      </ns0:tr>
      <ns0:tr>
        <ns0:tc>
          <ns0:tcPr/>
          <ns0:p>
            <ns0:pPr>
              <ns0:pStyle ns0:val="Compact"/>
            </ns0:pPr>
            <ns0:r>
              <ns0:rPr>
                <ns0:b/>
                <ns0:bCs/>
              </ns0:rPr>
              <ns0:t xml:space="preserve">Demographic breakdown</ns0:t>
            </ns0:r>
          </ns0:p>
        </ns0:tc>
        <ns0:tc>
          <ns0:tcPr/>
          <ns0:p>
            <ns0:pPr>
              <ns0:pStyle ns0:val="Compact"/>
            </ns0:pPr>
            <ns0:r>
              <ns0:t xml:space="preserve">Noun phrase</ns0:t>
            </ns0:r>
          </ns0:p>
        </ns0:tc>
        <ns0:tc>
          <ns0:tcPr/>
          <ns0:p>
            <ns0:pPr>
              <ns0:pStyle ns0:val="Compact"/>
            </ns0:pPr>
            <ns0:r>
              <ns0:t xml:space="preserve">Sự phân chia nhân khẩu học</ns0:t>
            </ns0:r>
          </ns0:p>
        </ns0:tc>
        <ns0:tc>
          <ns0:tcPr/>
          <ns0:p>
            <ns0:pPr>
              <ns0:pStyle ns0:val="Compact"/>
            </ns0:pPr>
            <ns0:r>
              <ns0:t xml:space="preserve">The pie chart illustrates the demographic breakdown…</ns0:t>
            </ns0:r>
          </ns0:p>
        </ns0:tc>
      </ns0:tr>
      <ns0:tr>
        <ns0:tc>
          <ns0:tcPr/>
          <ns0:p>
            <ns0:pPr>
              <ns0:pStyle ns0:val="Compact"/>
            </ns0:pPr>
            <ns0:r>
              <ns0:rPr>
                <ns0:b/>
                <ns0:bCs/>
              </ns0:rPr>
              <ns0:t xml:space="preserve">Constitute / Account for</ns0:t>
            </ns0:r>
          </ns0:p>
        </ns0:tc>
        <ns0:tc>
          <ns0:tcPr/>
          <ns0:p>
            <ns0:pPr>
              <ns0:pStyle ns0:val="Compact"/>
            </ns0:pPr>
            <ns0:r>
              <ns0:t xml:space="preserve">Verb</ns0:t>
            </ns0:r>
          </ns0:p>
        </ns0:tc>
        <ns0:tc>
          <ns0:tcPr/>
          <ns0:p>
            <ns0:pPr>
              <ns0:pStyle ns0:val="Compact"/>
            </ns0:pPr>
            <ns0:r>
              <ns0:t xml:space="preserve">Chiếm (tỷ lệ)</ns0:t>
            </ns0:r>
          </ns0:p>
        </ns0:tc>
        <ns0:tc>
          <ns0:tcPr/>
          <ns0:p>
            <ns0:pPr>
              <ns0:pStyle ns0:val="Compact"/>
            </ns0:pPr>
            <ns0:r>
              <ns0:t xml:space="preserve">Native-born Australians constitute the most significant proportion…</ns0:t>
            </ns0:r>
          </ns0:p>
        </ns0:tc>
      </ns0:tr>
      <ns0:tr>
        <ns0:tc>
          <ns0:tcPr/>
          <ns0:p>
            <ns0:pPr>
              <ns0:pStyle ns0:val="Compact"/>
            </ns0:pPr>
            <ns0:r>
              <ns0:rPr>
                <ns0:b/>
                <ns0:bCs/>
              </ns0:rPr>
              <ns0:t xml:space="preserve">Expatriate communities</ns0:t>
            </ns0:r>
          </ns0:p>
        </ns0:tc>
        <ns0:tc>
          <ns0:tcPr/>
          <ns0:p>
            <ns0:pPr>
              <ns0:pStyle ns0:val="Compact"/>
            </ns0:pPr>
            <ns0:r>
              <ns0:t xml:space="preserve">Noun phrase</ns0:t>
            </ns0:r>
          </ns0:p>
        </ns0:tc>
        <ns0:tc>
          <ns0:tcPr/>
          <ns0:p>
            <ns0:pPr>
              <ns0:pStyle ns0:val="Compact"/>
            </ns0:pPr>
            <ns0:r>
              <ns0:t xml:space="preserve">Cộng đồng người nước ngoài/nhập cư</ns0:t>
            </ns0:r>
          </ns0:p>
        </ns0:tc>
        <ns0:tc>
          <ns0:tcPr/>
          <ns0:p>
            <ns0:pPr>
              <ns0:pStyle ns0:val="Compact"/>
            </ns0:pPr>
            <ns0:r>
              <ns0:t xml:space="preserve">Among the expatriate communities, individuals born in the UK…</ns0:t>
            </ns0:r>
          </ns0:p>
        </ns0:tc>
      </ns0:tr>
      <ns0:tr>
        <ns0:tc>
          <ns0:tcPr/>
          <ns0:p>
            <ns0:pPr>
              <ns0:pStyle ns0:val="Compact"/>
            </ns0:pPr>
            <ns0:r>
              <ns0:rPr>
                <ns0:b/>
                <ns0:bCs/>
              </ns0:rPr>
              <ns0:t xml:space="preserve">Overwhelming preference</ns0:t>
            </ns0:r>
          </ns0:p>
        </ns0:tc>
        <ns0:tc>
          <ns0:tcPr/>
          <ns0:p>
            <ns0:pPr>
              <ns0:pStyle ns0:val="Compact"/>
            </ns0:pPr>
            <ns0:r>
              <ns0:t xml:space="preserve">Noun phrase</ns0:t>
            </ns0:r>
          </ns0:p>
        </ns0:tc>
        <ns0:tc>
          <ns0:tcPr/>
          <ns0:p>
            <ns0:pPr>
              <ns0:pStyle ns0:val="Compact"/>
            </ns0:pPr>
            <ns0:r>
              <ns0:t xml:space="preserve">Sự ưa chuộng áp đảo</ns0:t>
            </ns0:r>
          </ns0:p>
        </ns0:tc>
        <ns0:tc>
          <ns0:tcPr/>
          <ns0:p>
            <ns0:pPr>
              <ns0:pStyle ns0:val="Compact"/>
            </ns0:pPr>
            <ns0:r>
              <ns0:t xml:space="preserve">There is an overwhelming preference for urban living…</ns0:t>
            </ns0:r>
          </ns0:p>
        </ns0:tc>
      </ns0:tr>
      <ns0:tr>
        <ns0:tc>
          <ns0:tcPr/>
          <ns0:p>
            <ns0:pPr>
              <ns0:pStyle ns0:val="Compact"/>
            </ns0:pPr>
            <ns0:r>
              <ns0:rPr>
                <ns0:b/>
                <ns0:bCs/>
              </ns0:rPr>
              <ns0:t xml:space="preserve">Pronounced</ns0:t>
            </ns0:r>
          </ns0:p>
        </ns0:tc>
        <ns0:tc>
          <ns0:tcPr/>
          <ns0:p>
            <ns0:pPr>
              <ns0:pStyle ns0:val="Compact"/>
            </ns0:pPr>
            <ns0:r>
              <ns0:t xml:space="preserve">Adjective</ns0:t>
            </ns0:r>
          </ns0:p>
        </ns0:tc>
        <ns0:tc>
          <ns0:tcPr/>
          <ns0:p>
            <ns0:pPr>
              <ns0:pStyle ns0:val="Compact"/>
            </ns0:pPr>
            <ns0:r>
              <ns0:t xml:space="preserve">Rõ rệt, nổi bật</ns0:t>
            </ns0:r>
          </ns0:p>
        </ns0:tc>
        <ns0:tc>
          <ns0:tcPr/>
          <ns0:p>
            <ns0:pPr>
              <ns0:pStyle ns0:val="Compact"/>
            </ns0:pPr>
            <ns0:r>
              <ns0:t xml:space="preserve">This urbanization trend is most pronounced among Chinese immigrants…</ns0:t>
            </ns0:r>
          </ns0:p>
        </ns0:tc>
      </ns0:tr>
      <ns0:tr>
        <ns0:tc>
          <ns0:tcPr/>
          <ns0:p>
            <ns0:pPr>
              <ns0:pStyle ns0:val="Compact"/>
            </ns0:pPr>
            <ns0:r>
              <ns0:rPr>
                <ns0:b/>
                <ns0:bCs/>
              </ns0:rPr>
              <ns0:t xml:space="preserve">Inclination towards</ns0:t>
            </ns0:r>
          </ns0:p>
        </ns0:tc>
        <ns0:tc>
          <ns0:tcPr/>
          <ns0:p>
            <ns0:pPr>
              <ns0:pStyle ns0:val="Compact"/>
            </ns0:pPr>
            <ns0:r>
              <ns0:t xml:space="preserve">Noun phrase</ns0:t>
            </ns0:r>
          </ns0:p>
        </ns0:tc>
        <ns0:tc>
          <ns0:tcPr/>
          <ns0:p>
            <ns0:pPr>
              <ns0:pStyle ns0:val="Compact"/>
            </ns0:pPr>
            <ns0:r>
              <ns0:t xml:space="preserve">Khuynh hướng, sự thiên về</ns0:t>
            </ns0:r>
          </ns0:p>
        </ns0:tc>
        <ns0:tc>
          <ns0:tcPr/>
          <ns0:p>
            <ns0:pPr>
              <ns0:pStyle ns0:val="Compact"/>
            </ns0:pPr>
            <ns0:r>
              <ns0:t xml:space="preserve">Native Australians display a higher inclination towards rural living.</ns0:t>
            </ns0:r>
          </ns0:p>
        </ns0:tc>
      </ns0:tr>
      <ns0:tr>
        <ns0:tc>
          <ns0:tcPr/>
          <ns0:p>
            <ns0:pPr>
              <ns0:pStyle ns0:val="Compact"/>
            </ns0:pPr>
            <ns0:r>
              <ns0:rPr>
                <ns0:b/>
                <ns0:bCs/>
              </ns0:rPr>
              <ns0:t xml:space="preserve">A mere</ns0:t>
            </ns0:r>
          </ns0:p>
        </ns0:tc>
        <ns0:tc>
          <ns0:tcPr/>
          <ns0:p>
            <ns0:pPr>
              <ns0:pStyle ns0:val="Compact"/>
            </ns0:pPr>
            <ns0:r>
              <ns0:t xml:space="preserve">Adjective</ns0:t>
            </ns0:r>
          </ns0:p>
        </ns0:tc>
        <ns0:tc>
          <ns0:tcPr/>
          <ns0:p>
            <ns0:pPr>
              <ns0:pStyle ns0:val="Compact"/>
            </ns0:pPr>
            <ns0:r>
              <ns0:t xml:space="preserve">Chỉ vọn vẹn (để nhấn mạnh số nhỏ)</ns0:t>
            </ns0:r>
          </ns0:p>
        </ns0:tc>
        <ns0:tc>
          <ns0:tcPr/>
          <ns0:p>
            <ns0:pPr>
              <ns0:pStyle ns0:val="Compact"/>
            </ns0:pPr>
            <ns0:r>
              <ns0:t xml:space="preserve">…and a mere 1% respectively.</ns0:t>
            </ns0:r>
          </ns0:p>
        </ns0:tc>
      </ns0:tr>
    </ns0:tbl>
    <ns0:bookmarkEnd ns0:id="20"/>
    <ns0:bookmarkStart ns0:id="21" ns0:name="cấu-trúc-ngữ-pháp-mẫu"/>
    <ns0:p>
      <ns0:pPr>
        <ns0:pStyle ns0:val="Heading3"/>
      </ns0:pPr>
      <ns0:r>
        <ns0:t xml:space="preserve">2. Cấu trúc ngữ pháp mẫu</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Từ/Cụm từ</ns0:t>
            </ns0:r>
          </ns0:p>
        </ns0:tc>
        <ns0:tc>
          <ns0:tcPr/>
          <ns0:p>
            <ns0:pPr>
              <ns0:pStyle ns0:val="Compact"/>
            </ns0:pPr>
            <ns0:r>
              <ns0:t xml:space="preserve">Nghĩa</ns0:t>
            </ns0:r>
          </ns0:p>
        </ns0:tc>
        <ns0:tc>
          <ns0:tcPr/>
          <ns0:p>
            <ns0:pPr>
              <ns0:pStyle ns0:val="Compact"/>
            </ns0:pPr>
            <ns0:r>
              <ns0:t xml:space="preserve">Ví dụ</ns0:t>
            </ns0:r>
          </ns0:p>
        </ns0:tc>
      </ns0:tr>
      <ns0:tr>
        <ns0:tc>
          <ns0:tcPr/>
          <ns0:p>
            <ns0:pPr>
              <ns0:pStyle ns0:val="Compact"/>
            </ns0:pPr>
            <ns0:r>
              <ns0:t xml:space="preserve">Cấu trúc mệnh đề quan hệ rút gọn (Reduced Relative Clauses)</ns0:t>
            </ns0:r>
          </ns0:p>
        </ns0:tc>
        <ns0:tc>
          <ns0:tcPr/>
          <ns0:p>
            <ns0:pPr>
              <ns0:pStyle ns0:val="Compact"/>
            </ns0:pPr>
          </ns0:p>
        </ns0:tc>
        <ns0:tc>
          <ns0:tcPr/>
          <ns0:p>
            <ns0:pPr>
              <ns0:pStyle ns0:val="Compact"/>
            </ns0:pPr>
            <ns0:r>
              <ns0:t xml:space="preserve">Thay vì</ns0:t>
            </ns0:r>
            <ns0:r>
              <ns0:t xml:space="preserve"> </ns0:t>
            </ns0:r>
            <ns0:r>
              <ns0:t xml:space="preserve">“who/which + be + adj”</ns0:t>
            </ns0:r>
            <ns0:r>
              <ns0:t xml:space="preserve">, dùng đời từ có -ing/-ed.</ns0:t>
            </ns0:r>
          </ns0:p>
        </ns0:tc>
      </ns0:tr>
      <ns0:tr>
        <ns0:tc>
          <ns0:tcPr/>
          <ns0:p>
            <ns0:pPr>
              <ns0:pStyle ns0:val="Compact"/>
            </ns0:pPr>
            <ns0:r>
              <ns0:t xml:space="preserve">Cấu trúc đảo ngữ / Nhấn mạnh với</ns0:t>
            </ns0:r>
            <ns0:r>
              <ns0:t xml:space="preserve"> </ns0:t>
            </ns0:r>
            <ns0:r>
              <ns0:t xml:space="preserve">“An overwhelming…”</ns0:t>
            </ns0:r>
          </ns0:p>
        </ns0:tc>
        <ns0:tc>
          <ns0:tcPr/>
          <ns0:p>
            <ns0:pPr>
              <ns0:pStyle ns0:val="Compact"/>
            </ns0:pPr>
          </ns0:p>
        </ns0:tc>
        <ns0:tc>
          <ns0:tcPr/>
          <ns0:p>
            <ns0:pPr>
              <ns0:pStyle ns0:val="Compact"/>
            </ns0:pPr>
            <ns0:r>
              <ns0:t xml:space="preserve">An overwhelming 99% of Chinese immigrants reside in cities.</ns0:t>
            </ns0:r>
          </ns0:p>
        </ns0:tc>
      </ns0:tr>
      <ns0:tr>
        <ns0:tc>
          <ns0:tcPr/>
          <ns0:p>
            <ns0:pPr>
              <ns0:pStyle ns0:val="Compact"/>
            </ns0:pPr>
            <ns0:r>
              <ns0:t xml:space="preserve">Cấu trúc nhượng bộ với</ns0:t>
            </ns0:r>
            <ns0:r>
              <ns0:t xml:space="preserve"> </ns0:t>
            </ns0:r>
            <ns0:r>
              <ns0:t xml:space="preserve">“Although”</ns0:t>
            </ns0:r>
            <ns0:r>
              <ns0:t xml:space="preserve"> </ns0:t>
            </ns0:r>
            <ns0:r>
              <ns0:t xml:space="preserve">/</ns0:t>
            </ns0:r>
            <ns0:r>
              <ns0:t xml:space="preserve"> </ns0:t>
            </ns0:r>
            <ns0:r>
              <ns0:t xml:space="preserve">“While”</ns0:t>
            </ns0:r>
            <ns0:r>
              <ns0:t xml:space="preserve"> </ns0:t>
            </ns0:r>
            <ns0:r>
              <ns0:t xml:space="preserve">kết hợp so sánh</ns0:t>
            </ns0:r>
          </ns0:p>
        </ns0:tc>
        <ns0:tc>
          <ns0:tcPr/>
          <ns0:p>
            <ns0:pPr>
              <ns0:pStyle ns0:val="Compact"/>
            </ns0:pPr>
          </ns0:p>
        </ns0:tc>
        <ns0:tc>
          <ns0:tcPr/>
          <ns0:p>
            <ns0:pPr>
              <ns0:pStyle ns0:val="Compact"/>
            </ns0:pPr>
            <ns0:r>
              <ns0:t xml:space="preserve">Although the majority still reside in urban centers, they record the highest rural rate.</ns0:t>
            </ns0:r>
          </ns0:p>
        </ns0:tc>
      </ns0:tr>
    </ns0:tbl>
    <ns0:bookmarkEnd ns0:id="21"/>
    <ns0:bookmarkEnd ns0:id="22"/>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2026-03-12T13:04:54Z</dcterms:created>
  <dcterms:modified xsi:type="dcterms:W3CDTF">2026-03-12T13:04:54Z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9-15</vt:lpwstr>
  </property>
  <property fmtid="{D5CDD505-2E9C-101B-9397-08002B2CF9AE}" pid="3" name="level">
    <vt:lpwstr>3</vt:lpwstr>
  </property>
  <property fmtid="{D5CDD505-2E9C-101B-9397-08002B2CF9AE}" pid="4" name="skill">
    <vt:lpwstr>Writing</vt:lpwstr>
  </property>
  <property fmtid="{D5CDD505-2E9C-101B-9397-08002B2CF9AE}" pid="5" name="week">
    <vt:lpwstr>9</vt:lpwstr>
  </property>
</Properties>
</file>