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F119AE" w14:textId="541E570B" w:rsidR="00FC5E24" w:rsidRDefault="00FC5E24" w:rsidP="00FC5E24">
      <w:pPr>
        <w:pStyle w:val="Title"/>
      </w:pPr>
      <w:bookmarkStart w:id="0" w:name="_Toc205632711"/>
      <w:r>
        <w:t xml:space="preserve">Medical Care Collection Fund (MCCF) Electronic Data Interchange (EDI) Transaction Applications Suite (TAS) </w:t>
      </w:r>
      <w:r w:rsidR="00A61AAD">
        <w:t xml:space="preserve">eBilling </w:t>
      </w:r>
      <w:r w:rsidR="00AE42E9">
        <w:t>Build</w:t>
      </w:r>
      <w:r w:rsidR="00565037">
        <w:t xml:space="preserve"> 2</w:t>
      </w:r>
    </w:p>
    <w:p w14:paraId="1672F743" w14:textId="3C76554D" w:rsidR="00FA1BF4" w:rsidRDefault="001A6795" w:rsidP="00FC5E24">
      <w:pPr>
        <w:pStyle w:val="Title"/>
      </w:pPr>
      <w:r>
        <w:t>Integrated Billing</w:t>
      </w:r>
      <w:r w:rsidR="00C43240">
        <w:t xml:space="preserve"> IB*2.0*57</w:t>
      </w:r>
      <w:r w:rsidR="00CF2656">
        <w:t>7</w:t>
      </w:r>
    </w:p>
    <w:p w14:paraId="53849104" w14:textId="77777777" w:rsidR="00FC5E24" w:rsidRPr="00FC5E24" w:rsidRDefault="00FC5E24" w:rsidP="00FC5E24">
      <w:pPr>
        <w:pStyle w:val="Title"/>
      </w:pPr>
      <w:r>
        <w:t>Version 1.0</w:t>
      </w:r>
    </w:p>
    <w:p w14:paraId="1FBC31D4" w14:textId="77777777" w:rsidR="009917A8" w:rsidRPr="009917A8" w:rsidRDefault="0043004F" w:rsidP="009917A8">
      <w:pPr>
        <w:pStyle w:val="Title"/>
      </w:pPr>
      <w:r>
        <w:t xml:space="preserve">Deployment, </w:t>
      </w:r>
      <w:r w:rsidR="00685E4D">
        <w:t>Installation, Back-Out, and Rollback Guide</w:t>
      </w:r>
    </w:p>
    <w:p w14:paraId="11D050A9" w14:textId="77777777" w:rsidR="004F3A80" w:rsidRDefault="00281408" w:rsidP="004F3A80">
      <w:pPr>
        <w:pStyle w:val="CoverTitleInstructions"/>
      </w:pPr>
      <w:r>
        <w:rPr>
          <w:noProof/>
        </w:rPr>
        <w:drawing>
          <wp:inline distT="0" distB="0" distL="0" distR="0" wp14:anchorId="77824CBB" wp14:editId="5CC6A009">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FB3112C" w14:textId="77777777" w:rsidR="009976DD" w:rsidRDefault="009976DD" w:rsidP="009976DD">
      <w:pPr>
        <w:pStyle w:val="Title"/>
      </w:pPr>
    </w:p>
    <w:p w14:paraId="13A6C484" w14:textId="6DC6F00A" w:rsidR="0028784E" w:rsidRPr="00F7216E" w:rsidRDefault="008525BF" w:rsidP="00FC5E24">
      <w:pPr>
        <w:pStyle w:val="Title2"/>
      </w:pPr>
      <w:r>
        <w:t>June</w:t>
      </w:r>
      <w:r w:rsidR="009D0689">
        <w:t xml:space="preserve"> </w:t>
      </w:r>
      <w:r w:rsidR="00FC5E24">
        <w:t>2017</w:t>
      </w:r>
    </w:p>
    <w:p w14:paraId="7FCDB56B" w14:textId="77777777" w:rsidR="009976DD" w:rsidRPr="00FB15D6" w:rsidRDefault="009976DD" w:rsidP="00FE4E0E">
      <w:pPr>
        <w:pStyle w:val="Title2"/>
      </w:pPr>
      <w:r w:rsidRPr="00FB15D6">
        <w:t>Department of Veterans Affairs</w:t>
      </w:r>
    </w:p>
    <w:p w14:paraId="11B5D64A" w14:textId="77777777" w:rsidR="00F7216E" w:rsidRDefault="0028784E" w:rsidP="00F7216E">
      <w:pPr>
        <w:pStyle w:val="Title2"/>
      </w:pPr>
      <w:r>
        <w:t>Office of Information and Technology (OI&amp;T)</w:t>
      </w:r>
    </w:p>
    <w:p w14:paraId="07EA97A6" w14:textId="77777777" w:rsidR="0028784E" w:rsidRPr="005425EC" w:rsidRDefault="0028784E" w:rsidP="0028784E">
      <w:pPr>
        <w:pStyle w:val="InstructionalText1"/>
        <w:rPr>
          <w:color w:val="000000" w:themeColor="text1"/>
        </w:rPr>
      </w:pPr>
    </w:p>
    <w:p w14:paraId="4DC868B6" w14:textId="77777777" w:rsidR="00AD4E85" w:rsidRPr="005425EC" w:rsidRDefault="00AD4E85" w:rsidP="005F0F90">
      <w:pPr>
        <w:pStyle w:val="InstructionalText1"/>
        <w:rPr>
          <w:i w:val="0"/>
        </w:rPr>
        <w:sectPr w:rsidR="00AD4E85" w:rsidRPr="005425EC" w:rsidSect="00FA1BF4">
          <w:pgSz w:w="12240" w:h="15840" w:code="1"/>
          <w:pgMar w:top="1440" w:right="1440" w:bottom="1440" w:left="1440" w:header="720" w:footer="720" w:gutter="0"/>
          <w:pgNumType w:fmt="lowerRoman" w:start="1"/>
          <w:cols w:space="720"/>
          <w:vAlign w:val="center"/>
          <w:docGrid w:linePitch="360"/>
        </w:sectPr>
      </w:pPr>
    </w:p>
    <w:p w14:paraId="1C65EACE"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37"/>
        <w:gridCol w:w="1086"/>
        <w:gridCol w:w="4415"/>
        <w:gridCol w:w="2338"/>
      </w:tblGrid>
      <w:tr w:rsidR="00F64BE3" w:rsidRPr="00F64BE3" w14:paraId="1ABF8D45" w14:textId="77777777" w:rsidTr="00F07689">
        <w:trPr>
          <w:cantSplit/>
          <w:tblHeader/>
        </w:trPr>
        <w:tc>
          <w:tcPr>
            <w:tcW w:w="907" w:type="pct"/>
            <w:shd w:val="clear" w:color="auto" w:fill="F2F2F2"/>
          </w:tcPr>
          <w:p w14:paraId="0CEDAEC4"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15564516"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29A51318"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3CDA38B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F64BE3" w:rsidRPr="00F64BE3" w14:paraId="6BB7136D" w14:textId="77777777" w:rsidTr="00F07689">
        <w:trPr>
          <w:cantSplit/>
        </w:trPr>
        <w:tc>
          <w:tcPr>
            <w:tcW w:w="907" w:type="pct"/>
          </w:tcPr>
          <w:p w14:paraId="419B450A" w14:textId="7068211F" w:rsidR="00F64BE3" w:rsidRPr="00F64BE3" w:rsidRDefault="008525BF" w:rsidP="00F64BE3">
            <w:pPr>
              <w:spacing w:before="60" w:after="60"/>
              <w:rPr>
                <w:rFonts w:ascii="Arial" w:hAnsi="Arial" w:cs="Arial"/>
                <w:szCs w:val="20"/>
              </w:rPr>
            </w:pPr>
            <w:r>
              <w:rPr>
                <w:rFonts w:ascii="Arial" w:hAnsi="Arial" w:cs="Arial"/>
                <w:szCs w:val="20"/>
              </w:rPr>
              <w:t>June</w:t>
            </w:r>
            <w:r w:rsidR="009D0689">
              <w:rPr>
                <w:rFonts w:ascii="Arial" w:hAnsi="Arial" w:cs="Arial"/>
                <w:szCs w:val="20"/>
              </w:rPr>
              <w:t xml:space="preserve"> </w:t>
            </w:r>
            <w:r w:rsidR="00FC5E24">
              <w:rPr>
                <w:rFonts w:ascii="Arial" w:hAnsi="Arial" w:cs="Arial"/>
                <w:szCs w:val="20"/>
              </w:rPr>
              <w:t>2017</w:t>
            </w:r>
          </w:p>
        </w:tc>
        <w:tc>
          <w:tcPr>
            <w:tcW w:w="567" w:type="pct"/>
          </w:tcPr>
          <w:p w14:paraId="7CB47A94" w14:textId="77777777" w:rsidR="00F64BE3" w:rsidRPr="00F64BE3" w:rsidRDefault="00FC5E24" w:rsidP="00F64BE3">
            <w:pPr>
              <w:spacing w:before="60" w:after="60"/>
              <w:rPr>
                <w:rFonts w:ascii="Arial" w:hAnsi="Arial" w:cs="Arial"/>
                <w:szCs w:val="20"/>
              </w:rPr>
            </w:pPr>
            <w:r>
              <w:rPr>
                <w:rFonts w:ascii="Arial" w:hAnsi="Arial" w:cs="Arial"/>
                <w:szCs w:val="20"/>
              </w:rPr>
              <w:t>1.0</w:t>
            </w:r>
          </w:p>
        </w:tc>
        <w:tc>
          <w:tcPr>
            <w:tcW w:w="2305" w:type="pct"/>
          </w:tcPr>
          <w:p w14:paraId="32CF79D3" w14:textId="77777777" w:rsidR="00F64BE3" w:rsidRPr="00F64BE3" w:rsidRDefault="00FC5E24" w:rsidP="00F64BE3">
            <w:pPr>
              <w:spacing w:before="60" w:after="60"/>
              <w:rPr>
                <w:rFonts w:ascii="Arial" w:hAnsi="Arial" w:cs="Arial"/>
                <w:szCs w:val="20"/>
              </w:rPr>
            </w:pPr>
            <w:r>
              <w:rPr>
                <w:rFonts w:ascii="Arial" w:hAnsi="Arial" w:cs="Arial"/>
                <w:szCs w:val="20"/>
              </w:rPr>
              <w:t>Initial Version</w:t>
            </w:r>
          </w:p>
        </w:tc>
        <w:tc>
          <w:tcPr>
            <w:tcW w:w="1221" w:type="pct"/>
          </w:tcPr>
          <w:p w14:paraId="5C816972" w14:textId="77777777" w:rsidR="00F64BE3" w:rsidRPr="00F64BE3" w:rsidRDefault="00C43240" w:rsidP="00F64BE3">
            <w:pPr>
              <w:spacing w:before="60" w:after="60"/>
              <w:rPr>
                <w:rFonts w:ascii="Arial" w:hAnsi="Arial" w:cs="Arial"/>
                <w:szCs w:val="20"/>
              </w:rPr>
            </w:pPr>
            <w:r>
              <w:rPr>
                <w:rFonts w:ascii="Arial" w:hAnsi="Arial" w:cs="Arial"/>
                <w:szCs w:val="20"/>
              </w:rPr>
              <w:t>Vito D’Amico</w:t>
            </w:r>
          </w:p>
        </w:tc>
      </w:tr>
      <w:tr w:rsidR="00F64BE3" w:rsidRPr="00F64BE3" w14:paraId="34CEE16A" w14:textId="77777777" w:rsidTr="00F07689">
        <w:trPr>
          <w:cantSplit/>
        </w:trPr>
        <w:tc>
          <w:tcPr>
            <w:tcW w:w="907" w:type="pct"/>
          </w:tcPr>
          <w:p w14:paraId="697134B5" w14:textId="77777777" w:rsidR="00F64BE3" w:rsidRPr="00F64BE3" w:rsidRDefault="00F64BE3" w:rsidP="00F64BE3">
            <w:pPr>
              <w:spacing w:before="60" w:after="60"/>
              <w:rPr>
                <w:rFonts w:ascii="Arial" w:hAnsi="Arial" w:cs="Arial"/>
                <w:szCs w:val="20"/>
              </w:rPr>
            </w:pPr>
          </w:p>
        </w:tc>
        <w:tc>
          <w:tcPr>
            <w:tcW w:w="567" w:type="pct"/>
          </w:tcPr>
          <w:p w14:paraId="36FFE430" w14:textId="77777777" w:rsidR="00F64BE3" w:rsidRPr="00F64BE3" w:rsidRDefault="00F64BE3" w:rsidP="00F64BE3">
            <w:pPr>
              <w:spacing w:before="60" w:after="60"/>
              <w:rPr>
                <w:rFonts w:ascii="Arial" w:hAnsi="Arial" w:cs="Arial"/>
                <w:szCs w:val="20"/>
              </w:rPr>
            </w:pPr>
          </w:p>
        </w:tc>
        <w:tc>
          <w:tcPr>
            <w:tcW w:w="2305" w:type="pct"/>
          </w:tcPr>
          <w:p w14:paraId="11E1D683" w14:textId="77777777" w:rsidR="00F64BE3" w:rsidRPr="00F64BE3" w:rsidRDefault="00F64BE3" w:rsidP="00F64BE3">
            <w:pPr>
              <w:spacing w:before="60" w:after="60"/>
              <w:rPr>
                <w:rFonts w:ascii="Arial" w:hAnsi="Arial" w:cs="Arial"/>
                <w:szCs w:val="20"/>
              </w:rPr>
            </w:pPr>
          </w:p>
        </w:tc>
        <w:tc>
          <w:tcPr>
            <w:tcW w:w="1221" w:type="pct"/>
          </w:tcPr>
          <w:p w14:paraId="1FEF2799" w14:textId="77777777" w:rsidR="00F64BE3" w:rsidRPr="00F64BE3" w:rsidRDefault="00F64BE3" w:rsidP="00F64BE3">
            <w:pPr>
              <w:spacing w:before="60" w:after="60"/>
              <w:rPr>
                <w:rFonts w:ascii="Arial" w:hAnsi="Arial" w:cs="Arial"/>
                <w:szCs w:val="20"/>
              </w:rPr>
            </w:pPr>
          </w:p>
        </w:tc>
      </w:tr>
    </w:tbl>
    <w:p w14:paraId="7FAA6842" w14:textId="77777777" w:rsidR="00FC5E24" w:rsidRDefault="00FC5E24" w:rsidP="00F64BE3">
      <w:pPr>
        <w:autoSpaceDE w:val="0"/>
        <w:autoSpaceDN w:val="0"/>
        <w:adjustRightInd w:val="0"/>
        <w:spacing w:after="360"/>
        <w:jc w:val="center"/>
        <w:rPr>
          <w:i/>
          <w:iCs/>
          <w:color w:val="0000FF"/>
          <w:sz w:val="24"/>
          <w:szCs w:val="20"/>
        </w:rPr>
      </w:pPr>
    </w:p>
    <w:p w14:paraId="476EBA7D" w14:textId="4AC38050"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DF539D4"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F11DC6">
        <w:rPr>
          <w:sz w:val="24"/>
          <w:szCs w:val="20"/>
        </w:rPr>
        <w:t>particulars of these procedures at a single or at</w:t>
      </w:r>
      <w:r w:rsidRPr="00F64BE3">
        <w:rPr>
          <w:sz w:val="24"/>
          <w:szCs w:val="20"/>
        </w:rPr>
        <w:t xml:space="preserve"> multiple locations.</w:t>
      </w:r>
    </w:p>
    <w:p w14:paraId="43B873D9" w14:textId="0185BE98"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 </w:t>
      </w:r>
    </w:p>
    <w:p w14:paraId="16413329" w14:textId="77777777" w:rsidR="00D43555" w:rsidRPr="00F64BE3" w:rsidRDefault="00D43555" w:rsidP="00F64BE3">
      <w:pPr>
        <w:spacing w:before="120" w:after="120"/>
        <w:rPr>
          <w:sz w:val="24"/>
          <w:szCs w:val="20"/>
        </w:rPr>
      </w:pPr>
    </w:p>
    <w:p w14:paraId="5E5471E0" w14:textId="77777777" w:rsidR="00C27658" w:rsidRPr="00F64BE3" w:rsidRDefault="00C27658" w:rsidP="00F64BE3">
      <w:pPr>
        <w:spacing w:before="120" w:after="120"/>
        <w:rPr>
          <w:sz w:val="24"/>
          <w:szCs w:val="20"/>
        </w:rPr>
      </w:pPr>
    </w:p>
    <w:p w14:paraId="68A1913D" w14:textId="77777777" w:rsidR="00F64BE3" w:rsidRPr="00F64BE3" w:rsidRDefault="00F64BE3" w:rsidP="00F64BE3">
      <w:pPr>
        <w:pStyle w:val="BodyText"/>
      </w:pPr>
    </w:p>
    <w:p w14:paraId="194DBC76" w14:textId="77777777" w:rsidR="00F64BE3" w:rsidRPr="00FF71C7" w:rsidRDefault="00F64BE3" w:rsidP="0028784E">
      <w:pPr>
        <w:pStyle w:val="InstructionalText1"/>
        <w:rPr>
          <w:i w:val="0"/>
          <w:iCs w:val="0"/>
        </w:rPr>
        <w:sectPr w:rsidR="00F64BE3" w:rsidRPr="00FF71C7" w:rsidSect="0028784E">
          <w:footerReference w:type="default" r:id="rId13"/>
          <w:pgSz w:w="12240" w:h="15840" w:code="1"/>
          <w:pgMar w:top="1440" w:right="1440" w:bottom="1440" w:left="1440" w:header="720" w:footer="720" w:gutter="0"/>
          <w:pgNumType w:fmt="lowerRoman"/>
          <w:cols w:space="720"/>
          <w:docGrid w:linePitch="360"/>
        </w:sectPr>
      </w:pPr>
    </w:p>
    <w:p w14:paraId="5643B28A" w14:textId="77777777" w:rsidR="004F3A80" w:rsidRDefault="004F3A80" w:rsidP="00647B03">
      <w:pPr>
        <w:pStyle w:val="Title2"/>
      </w:pPr>
      <w:r>
        <w:lastRenderedPageBreak/>
        <w:t>Table of Contents</w:t>
      </w:r>
    </w:p>
    <w:p w14:paraId="76E6EB5A" w14:textId="77777777" w:rsidR="00711867"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86338220" w:history="1">
        <w:r w:rsidR="00711867" w:rsidRPr="00454223">
          <w:rPr>
            <w:rStyle w:val="Hyperlink"/>
            <w:noProof/>
          </w:rPr>
          <w:t>1</w:t>
        </w:r>
        <w:r w:rsidR="00711867">
          <w:rPr>
            <w:rFonts w:asciiTheme="minorHAnsi" w:eastAsiaTheme="minorEastAsia" w:hAnsiTheme="minorHAnsi" w:cstheme="minorBidi"/>
            <w:b w:val="0"/>
            <w:noProof/>
            <w:sz w:val="22"/>
            <w:szCs w:val="22"/>
          </w:rPr>
          <w:tab/>
        </w:r>
        <w:r w:rsidR="00711867" w:rsidRPr="00454223">
          <w:rPr>
            <w:rStyle w:val="Hyperlink"/>
            <w:noProof/>
          </w:rPr>
          <w:t>Introduction</w:t>
        </w:r>
        <w:r w:rsidR="00711867">
          <w:rPr>
            <w:noProof/>
            <w:webHidden/>
          </w:rPr>
          <w:tab/>
        </w:r>
        <w:r w:rsidR="00711867">
          <w:rPr>
            <w:noProof/>
            <w:webHidden/>
          </w:rPr>
          <w:fldChar w:fldCharType="begin"/>
        </w:r>
        <w:r w:rsidR="00711867">
          <w:rPr>
            <w:noProof/>
            <w:webHidden/>
          </w:rPr>
          <w:instrText xml:space="preserve"> PAGEREF _Toc486338220 \h </w:instrText>
        </w:r>
        <w:r w:rsidR="00711867">
          <w:rPr>
            <w:noProof/>
            <w:webHidden/>
          </w:rPr>
        </w:r>
        <w:r w:rsidR="00711867">
          <w:rPr>
            <w:noProof/>
            <w:webHidden/>
          </w:rPr>
          <w:fldChar w:fldCharType="separate"/>
        </w:r>
        <w:r w:rsidR="00711867">
          <w:rPr>
            <w:noProof/>
            <w:webHidden/>
          </w:rPr>
          <w:t>1</w:t>
        </w:r>
        <w:r w:rsidR="00711867">
          <w:rPr>
            <w:noProof/>
            <w:webHidden/>
          </w:rPr>
          <w:fldChar w:fldCharType="end"/>
        </w:r>
      </w:hyperlink>
    </w:p>
    <w:p w14:paraId="13DFD861" w14:textId="77777777" w:rsidR="00711867" w:rsidRDefault="00711867">
      <w:pPr>
        <w:pStyle w:val="TOC2"/>
        <w:rPr>
          <w:rFonts w:asciiTheme="minorHAnsi" w:eastAsiaTheme="minorEastAsia" w:hAnsiTheme="minorHAnsi" w:cstheme="minorBidi"/>
          <w:b w:val="0"/>
          <w:noProof/>
          <w:sz w:val="22"/>
          <w:szCs w:val="22"/>
        </w:rPr>
      </w:pPr>
      <w:hyperlink w:anchor="_Toc486338221" w:history="1">
        <w:r w:rsidRPr="00454223">
          <w:rPr>
            <w:rStyle w:val="Hyperlink"/>
            <w:noProof/>
          </w:rPr>
          <w:t>1.1</w:t>
        </w:r>
        <w:r>
          <w:rPr>
            <w:rFonts w:asciiTheme="minorHAnsi" w:eastAsiaTheme="minorEastAsia" w:hAnsiTheme="minorHAnsi" w:cstheme="minorBidi"/>
            <w:b w:val="0"/>
            <w:noProof/>
            <w:sz w:val="22"/>
            <w:szCs w:val="22"/>
          </w:rPr>
          <w:tab/>
        </w:r>
        <w:r w:rsidRPr="00454223">
          <w:rPr>
            <w:rStyle w:val="Hyperlink"/>
            <w:noProof/>
          </w:rPr>
          <w:t>Purpose</w:t>
        </w:r>
        <w:r>
          <w:rPr>
            <w:noProof/>
            <w:webHidden/>
          </w:rPr>
          <w:tab/>
        </w:r>
        <w:r>
          <w:rPr>
            <w:noProof/>
            <w:webHidden/>
          </w:rPr>
          <w:fldChar w:fldCharType="begin"/>
        </w:r>
        <w:r>
          <w:rPr>
            <w:noProof/>
            <w:webHidden/>
          </w:rPr>
          <w:instrText xml:space="preserve"> PAGEREF _Toc486338221 \h </w:instrText>
        </w:r>
        <w:r>
          <w:rPr>
            <w:noProof/>
            <w:webHidden/>
          </w:rPr>
        </w:r>
        <w:r>
          <w:rPr>
            <w:noProof/>
            <w:webHidden/>
          </w:rPr>
          <w:fldChar w:fldCharType="separate"/>
        </w:r>
        <w:r>
          <w:rPr>
            <w:noProof/>
            <w:webHidden/>
          </w:rPr>
          <w:t>1</w:t>
        </w:r>
        <w:r>
          <w:rPr>
            <w:noProof/>
            <w:webHidden/>
          </w:rPr>
          <w:fldChar w:fldCharType="end"/>
        </w:r>
      </w:hyperlink>
    </w:p>
    <w:p w14:paraId="0D7CBE4F" w14:textId="77777777" w:rsidR="00711867" w:rsidRDefault="00711867">
      <w:pPr>
        <w:pStyle w:val="TOC2"/>
        <w:rPr>
          <w:rFonts w:asciiTheme="minorHAnsi" w:eastAsiaTheme="minorEastAsia" w:hAnsiTheme="minorHAnsi" w:cstheme="minorBidi"/>
          <w:b w:val="0"/>
          <w:noProof/>
          <w:sz w:val="22"/>
          <w:szCs w:val="22"/>
        </w:rPr>
      </w:pPr>
      <w:hyperlink w:anchor="_Toc486338222" w:history="1">
        <w:r w:rsidRPr="00454223">
          <w:rPr>
            <w:rStyle w:val="Hyperlink"/>
            <w:noProof/>
          </w:rPr>
          <w:t>1.2</w:t>
        </w:r>
        <w:r>
          <w:rPr>
            <w:rFonts w:asciiTheme="minorHAnsi" w:eastAsiaTheme="minorEastAsia" w:hAnsiTheme="minorHAnsi" w:cstheme="minorBidi"/>
            <w:b w:val="0"/>
            <w:noProof/>
            <w:sz w:val="22"/>
            <w:szCs w:val="22"/>
          </w:rPr>
          <w:tab/>
        </w:r>
        <w:r w:rsidRPr="00454223">
          <w:rPr>
            <w:rStyle w:val="Hyperlink"/>
            <w:noProof/>
          </w:rPr>
          <w:t>Dependencies</w:t>
        </w:r>
        <w:r>
          <w:rPr>
            <w:noProof/>
            <w:webHidden/>
          </w:rPr>
          <w:tab/>
        </w:r>
        <w:r>
          <w:rPr>
            <w:noProof/>
            <w:webHidden/>
          </w:rPr>
          <w:fldChar w:fldCharType="begin"/>
        </w:r>
        <w:r>
          <w:rPr>
            <w:noProof/>
            <w:webHidden/>
          </w:rPr>
          <w:instrText xml:space="preserve"> PAGEREF _Toc486338222 \h </w:instrText>
        </w:r>
        <w:r>
          <w:rPr>
            <w:noProof/>
            <w:webHidden/>
          </w:rPr>
        </w:r>
        <w:r>
          <w:rPr>
            <w:noProof/>
            <w:webHidden/>
          </w:rPr>
          <w:fldChar w:fldCharType="separate"/>
        </w:r>
        <w:r>
          <w:rPr>
            <w:noProof/>
            <w:webHidden/>
          </w:rPr>
          <w:t>1</w:t>
        </w:r>
        <w:r>
          <w:rPr>
            <w:noProof/>
            <w:webHidden/>
          </w:rPr>
          <w:fldChar w:fldCharType="end"/>
        </w:r>
      </w:hyperlink>
    </w:p>
    <w:p w14:paraId="059D919A" w14:textId="77777777" w:rsidR="00711867" w:rsidRDefault="00711867">
      <w:pPr>
        <w:pStyle w:val="TOC2"/>
        <w:rPr>
          <w:rFonts w:asciiTheme="minorHAnsi" w:eastAsiaTheme="minorEastAsia" w:hAnsiTheme="minorHAnsi" w:cstheme="minorBidi"/>
          <w:b w:val="0"/>
          <w:noProof/>
          <w:sz w:val="22"/>
          <w:szCs w:val="22"/>
        </w:rPr>
      </w:pPr>
      <w:hyperlink w:anchor="_Toc486338223" w:history="1">
        <w:r w:rsidRPr="00454223">
          <w:rPr>
            <w:rStyle w:val="Hyperlink"/>
            <w:noProof/>
          </w:rPr>
          <w:t>1.3</w:t>
        </w:r>
        <w:r>
          <w:rPr>
            <w:rFonts w:asciiTheme="minorHAnsi" w:eastAsiaTheme="minorEastAsia" w:hAnsiTheme="minorHAnsi" w:cstheme="minorBidi"/>
            <w:b w:val="0"/>
            <w:noProof/>
            <w:sz w:val="22"/>
            <w:szCs w:val="22"/>
          </w:rPr>
          <w:tab/>
        </w:r>
        <w:r w:rsidRPr="00454223">
          <w:rPr>
            <w:rStyle w:val="Hyperlink"/>
            <w:noProof/>
          </w:rPr>
          <w:t>Constraints</w:t>
        </w:r>
        <w:r>
          <w:rPr>
            <w:noProof/>
            <w:webHidden/>
          </w:rPr>
          <w:tab/>
        </w:r>
        <w:r>
          <w:rPr>
            <w:noProof/>
            <w:webHidden/>
          </w:rPr>
          <w:fldChar w:fldCharType="begin"/>
        </w:r>
        <w:r>
          <w:rPr>
            <w:noProof/>
            <w:webHidden/>
          </w:rPr>
          <w:instrText xml:space="preserve"> PAGEREF _Toc486338223 \h </w:instrText>
        </w:r>
        <w:r>
          <w:rPr>
            <w:noProof/>
            <w:webHidden/>
          </w:rPr>
        </w:r>
        <w:r>
          <w:rPr>
            <w:noProof/>
            <w:webHidden/>
          </w:rPr>
          <w:fldChar w:fldCharType="separate"/>
        </w:r>
        <w:r>
          <w:rPr>
            <w:noProof/>
            <w:webHidden/>
          </w:rPr>
          <w:t>1</w:t>
        </w:r>
        <w:r>
          <w:rPr>
            <w:noProof/>
            <w:webHidden/>
          </w:rPr>
          <w:fldChar w:fldCharType="end"/>
        </w:r>
      </w:hyperlink>
    </w:p>
    <w:p w14:paraId="08E77D91" w14:textId="77777777" w:rsidR="00711867" w:rsidRDefault="00711867">
      <w:pPr>
        <w:pStyle w:val="TOC1"/>
        <w:rPr>
          <w:rFonts w:asciiTheme="minorHAnsi" w:eastAsiaTheme="minorEastAsia" w:hAnsiTheme="minorHAnsi" w:cstheme="minorBidi"/>
          <w:b w:val="0"/>
          <w:noProof/>
          <w:sz w:val="22"/>
          <w:szCs w:val="22"/>
        </w:rPr>
      </w:pPr>
      <w:hyperlink w:anchor="_Toc486338224" w:history="1">
        <w:r w:rsidRPr="00454223">
          <w:rPr>
            <w:rStyle w:val="Hyperlink"/>
            <w:noProof/>
          </w:rPr>
          <w:t>2</w:t>
        </w:r>
        <w:r>
          <w:rPr>
            <w:rFonts w:asciiTheme="minorHAnsi" w:eastAsiaTheme="minorEastAsia" w:hAnsiTheme="minorHAnsi" w:cstheme="minorBidi"/>
            <w:b w:val="0"/>
            <w:noProof/>
            <w:sz w:val="22"/>
            <w:szCs w:val="22"/>
          </w:rPr>
          <w:tab/>
        </w:r>
        <w:r w:rsidRPr="00454223">
          <w:rPr>
            <w:rStyle w:val="Hyperlink"/>
            <w:noProof/>
          </w:rPr>
          <w:t>Roles and Responsibilities</w:t>
        </w:r>
        <w:r>
          <w:rPr>
            <w:noProof/>
            <w:webHidden/>
          </w:rPr>
          <w:tab/>
        </w:r>
        <w:r>
          <w:rPr>
            <w:noProof/>
            <w:webHidden/>
          </w:rPr>
          <w:fldChar w:fldCharType="begin"/>
        </w:r>
        <w:r>
          <w:rPr>
            <w:noProof/>
            <w:webHidden/>
          </w:rPr>
          <w:instrText xml:space="preserve"> PAGEREF _Toc486338224 \h </w:instrText>
        </w:r>
        <w:r>
          <w:rPr>
            <w:noProof/>
            <w:webHidden/>
          </w:rPr>
        </w:r>
        <w:r>
          <w:rPr>
            <w:noProof/>
            <w:webHidden/>
          </w:rPr>
          <w:fldChar w:fldCharType="separate"/>
        </w:r>
        <w:r>
          <w:rPr>
            <w:noProof/>
            <w:webHidden/>
          </w:rPr>
          <w:t>1</w:t>
        </w:r>
        <w:r>
          <w:rPr>
            <w:noProof/>
            <w:webHidden/>
          </w:rPr>
          <w:fldChar w:fldCharType="end"/>
        </w:r>
      </w:hyperlink>
    </w:p>
    <w:p w14:paraId="33C8D521" w14:textId="77777777" w:rsidR="00711867" w:rsidRDefault="00711867">
      <w:pPr>
        <w:pStyle w:val="TOC1"/>
        <w:rPr>
          <w:rFonts w:asciiTheme="minorHAnsi" w:eastAsiaTheme="minorEastAsia" w:hAnsiTheme="minorHAnsi" w:cstheme="minorBidi"/>
          <w:b w:val="0"/>
          <w:noProof/>
          <w:sz w:val="22"/>
          <w:szCs w:val="22"/>
        </w:rPr>
      </w:pPr>
      <w:hyperlink w:anchor="_Toc486338225" w:history="1">
        <w:r w:rsidRPr="00454223">
          <w:rPr>
            <w:rStyle w:val="Hyperlink"/>
            <w:noProof/>
          </w:rPr>
          <w:t>3</w:t>
        </w:r>
        <w:r>
          <w:rPr>
            <w:rFonts w:asciiTheme="minorHAnsi" w:eastAsiaTheme="minorEastAsia" w:hAnsiTheme="minorHAnsi" w:cstheme="minorBidi"/>
            <w:b w:val="0"/>
            <w:noProof/>
            <w:sz w:val="22"/>
            <w:szCs w:val="22"/>
          </w:rPr>
          <w:tab/>
        </w:r>
        <w:r w:rsidRPr="00454223">
          <w:rPr>
            <w:rStyle w:val="Hyperlink"/>
            <w:noProof/>
          </w:rPr>
          <w:t>Deployment</w:t>
        </w:r>
        <w:r>
          <w:rPr>
            <w:noProof/>
            <w:webHidden/>
          </w:rPr>
          <w:tab/>
        </w:r>
        <w:r>
          <w:rPr>
            <w:noProof/>
            <w:webHidden/>
          </w:rPr>
          <w:fldChar w:fldCharType="begin"/>
        </w:r>
        <w:r>
          <w:rPr>
            <w:noProof/>
            <w:webHidden/>
          </w:rPr>
          <w:instrText xml:space="preserve"> PAGEREF _Toc486338225 \h </w:instrText>
        </w:r>
        <w:r>
          <w:rPr>
            <w:noProof/>
            <w:webHidden/>
          </w:rPr>
        </w:r>
        <w:r>
          <w:rPr>
            <w:noProof/>
            <w:webHidden/>
          </w:rPr>
          <w:fldChar w:fldCharType="separate"/>
        </w:r>
        <w:r>
          <w:rPr>
            <w:noProof/>
            <w:webHidden/>
          </w:rPr>
          <w:t>2</w:t>
        </w:r>
        <w:r>
          <w:rPr>
            <w:noProof/>
            <w:webHidden/>
          </w:rPr>
          <w:fldChar w:fldCharType="end"/>
        </w:r>
      </w:hyperlink>
    </w:p>
    <w:p w14:paraId="3AA52855" w14:textId="77777777" w:rsidR="00711867" w:rsidRDefault="00711867">
      <w:pPr>
        <w:pStyle w:val="TOC2"/>
        <w:rPr>
          <w:rFonts w:asciiTheme="minorHAnsi" w:eastAsiaTheme="minorEastAsia" w:hAnsiTheme="minorHAnsi" w:cstheme="minorBidi"/>
          <w:b w:val="0"/>
          <w:noProof/>
          <w:sz w:val="22"/>
          <w:szCs w:val="22"/>
        </w:rPr>
      </w:pPr>
      <w:hyperlink w:anchor="_Toc486338226" w:history="1">
        <w:r w:rsidRPr="00454223">
          <w:rPr>
            <w:rStyle w:val="Hyperlink"/>
            <w:noProof/>
          </w:rPr>
          <w:t>3.1</w:t>
        </w:r>
        <w:r>
          <w:rPr>
            <w:rFonts w:asciiTheme="minorHAnsi" w:eastAsiaTheme="minorEastAsia" w:hAnsiTheme="minorHAnsi" w:cstheme="minorBidi"/>
            <w:b w:val="0"/>
            <w:noProof/>
            <w:sz w:val="22"/>
            <w:szCs w:val="22"/>
          </w:rPr>
          <w:tab/>
        </w:r>
        <w:r w:rsidRPr="00454223">
          <w:rPr>
            <w:rStyle w:val="Hyperlink"/>
            <w:noProof/>
          </w:rPr>
          <w:t>Timeline</w:t>
        </w:r>
        <w:r>
          <w:rPr>
            <w:noProof/>
            <w:webHidden/>
          </w:rPr>
          <w:tab/>
        </w:r>
        <w:r>
          <w:rPr>
            <w:noProof/>
            <w:webHidden/>
          </w:rPr>
          <w:fldChar w:fldCharType="begin"/>
        </w:r>
        <w:r>
          <w:rPr>
            <w:noProof/>
            <w:webHidden/>
          </w:rPr>
          <w:instrText xml:space="preserve"> PAGEREF _Toc486338226 \h </w:instrText>
        </w:r>
        <w:r>
          <w:rPr>
            <w:noProof/>
            <w:webHidden/>
          </w:rPr>
        </w:r>
        <w:r>
          <w:rPr>
            <w:noProof/>
            <w:webHidden/>
          </w:rPr>
          <w:fldChar w:fldCharType="separate"/>
        </w:r>
        <w:r>
          <w:rPr>
            <w:noProof/>
            <w:webHidden/>
          </w:rPr>
          <w:t>2</w:t>
        </w:r>
        <w:r>
          <w:rPr>
            <w:noProof/>
            <w:webHidden/>
          </w:rPr>
          <w:fldChar w:fldCharType="end"/>
        </w:r>
      </w:hyperlink>
    </w:p>
    <w:p w14:paraId="6D091A72" w14:textId="77777777" w:rsidR="00711867" w:rsidRDefault="00711867">
      <w:pPr>
        <w:pStyle w:val="TOC2"/>
        <w:rPr>
          <w:rFonts w:asciiTheme="minorHAnsi" w:eastAsiaTheme="minorEastAsia" w:hAnsiTheme="minorHAnsi" w:cstheme="minorBidi"/>
          <w:b w:val="0"/>
          <w:noProof/>
          <w:sz w:val="22"/>
          <w:szCs w:val="22"/>
        </w:rPr>
      </w:pPr>
      <w:hyperlink w:anchor="_Toc486338227" w:history="1">
        <w:r w:rsidRPr="00454223">
          <w:rPr>
            <w:rStyle w:val="Hyperlink"/>
            <w:noProof/>
          </w:rPr>
          <w:t>3.2</w:t>
        </w:r>
        <w:r>
          <w:rPr>
            <w:rFonts w:asciiTheme="minorHAnsi" w:eastAsiaTheme="minorEastAsia" w:hAnsiTheme="minorHAnsi" w:cstheme="minorBidi"/>
            <w:b w:val="0"/>
            <w:noProof/>
            <w:sz w:val="22"/>
            <w:szCs w:val="22"/>
          </w:rPr>
          <w:tab/>
        </w:r>
        <w:r w:rsidRPr="00454223">
          <w:rPr>
            <w:rStyle w:val="Hyperlink"/>
            <w:noProof/>
          </w:rPr>
          <w:t>Site Readiness Assessment</w:t>
        </w:r>
        <w:r>
          <w:rPr>
            <w:noProof/>
            <w:webHidden/>
          </w:rPr>
          <w:tab/>
        </w:r>
        <w:r>
          <w:rPr>
            <w:noProof/>
            <w:webHidden/>
          </w:rPr>
          <w:fldChar w:fldCharType="begin"/>
        </w:r>
        <w:r>
          <w:rPr>
            <w:noProof/>
            <w:webHidden/>
          </w:rPr>
          <w:instrText xml:space="preserve"> PAGEREF _Toc486338227 \h </w:instrText>
        </w:r>
        <w:r>
          <w:rPr>
            <w:noProof/>
            <w:webHidden/>
          </w:rPr>
        </w:r>
        <w:r>
          <w:rPr>
            <w:noProof/>
            <w:webHidden/>
          </w:rPr>
          <w:fldChar w:fldCharType="separate"/>
        </w:r>
        <w:r>
          <w:rPr>
            <w:noProof/>
            <w:webHidden/>
          </w:rPr>
          <w:t>2</w:t>
        </w:r>
        <w:r>
          <w:rPr>
            <w:noProof/>
            <w:webHidden/>
          </w:rPr>
          <w:fldChar w:fldCharType="end"/>
        </w:r>
      </w:hyperlink>
    </w:p>
    <w:p w14:paraId="114871E4" w14:textId="77777777" w:rsidR="00711867" w:rsidRDefault="00711867">
      <w:pPr>
        <w:pStyle w:val="TOC3"/>
        <w:rPr>
          <w:rFonts w:asciiTheme="minorHAnsi" w:eastAsiaTheme="minorEastAsia" w:hAnsiTheme="minorHAnsi" w:cstheme="minorBidi"/>
          <w:b w:val="0"/>
          <w:noProof/>
          <w:sz w:val="22"/>
          <w:szCs w:val="22"/>
        </w:rPr>
      </w:pPr>
      <w:hyperlink w:anchor="_Toc486338228" w:history="1">
        <w:r w:rsidRPr="00454223">
          <w:rPr>
            <w:rStyle w:val="Hyperlink"/>
            <w:noProof/>
          </w:rPr>
          <w:t>3.2.1</w:t>
        </w:r>
        <w:r>
          <w:rPr>
            <w:rFonts w:asciiTheme="minorHAnsi" w:eastAsiaTheme="minorEastAsia" w:hAnsiTheme="minorHAnsi" w:cstheme="minorBidi"/>
            <w:b w:val="0"/>
            <w:noProof/>
            <w:sz w:val="22"/>
            <w:szCs w:val="22"/>
          </w:rPr>
          <w:tab/>
        </w:r>
        <w:r w:rsidRPr="00454223">
          <w:rPr>
            <w:rStyle w:val="Hyperlink"/>
            <w:noProof/>
          </w:rPr>
          <w:t>Deployment Topology (Targeted Architecture)</w:t>
        </w:r>
        <w:r>
          <w:rPr>
            <w:noProof/>
            <w:webHidden/>
          </w:rPr>
          <w:tab/>
        </w:r>
        <w:r>
          <w:rPr>
            <w:noProof/>
            <w:webHidden/>
          </w:rPr>
          <w:fldChar w:fldCharType="begin"/>
        </w:r>
        <w:r>
          <w:rPr>
            <w:noProof/>
            <w:webHidden/>
          </w:rPr>
          <w:instrText xml:space="preserve"> PAGEREF _Toc486338228 \h </w:instrText>
        </w:r>
        <w:r>
          <w:rPr>
            <w:noProof/>
            <w:webHidden/>
          </w:rPr>
        </w:r>
        <w:r>
          <w:rPr>
            <w:noProof/>
            <w:webHidden/>
          </w:rPr>
          <w:fldChar w:fldCharType="separate"/>
        </w:r>
        <w:r>
          <w:rPr>
            <w:noProof/>
            <w:webHidden/>
          </w:rPr>
          <w:t>2</w:t>
        </w:r>
        <w:r>
          <w:rPr>
            <w:noProof/>
            <w:webHidden/>
          </w:rPr>
          <w:fldChar w:fldCharType="end"/>
        </w:r>
      </w:hyperlink>
    </w:p>
    <w:p w14:paraId="2345EFA7" w14:textId="77777777" w:rsidR="00711867" w:rsidRDefault="00711867">
      <w:pPr>
        <w:pStyle w:val="TOC3"/>
        <w:rPr>
          <w:rFonts w:asciiTheme="minorHAnsi" w:eastAsiaTheme="minorEastAsia" w:hAnsiTheme="minorHAnsi" w:cstheme="minorBidi"/>
          <w:b w:val="0"/>
          <w:noProof/>
          <w:sz w:val="22"/>
          <w:szCs w:val="22"/>
        </w:rPr>
      </w:pPr>
      <w:hyperlink w:anchor="_Toc486338229" w:history="1">
        <w:r w:rsidRPr="00454223">
          <w:rPr>
            <w:rStyle w:val="Hyperlink"/>
            <w:noProof/>
          </w:rPr>
          <w:t>3.2.2</w:t>
        </w:r>
        <w:r>
          <w:rPr>
            <w:rFonts w:asciiTheme="minorHAnsi" w:eastAsiaTheme="minorEastAsia" w:hAnsiTheme="minorHAnsi" w:cstheme="minorBidi"/>
            <w:b w:val="0"/>
            <w:noProof/>
            <w:sz w:val="22"/>
            <w:szCs w:val="22"/>
          </w:rPr>
          <w:tab/>
        </w:r>
        <w:r w:rsidRPr="00454223">
          <w:rPr>
            <w:rStyle w:val="Hyperlink"/>
            <w:noProof/>
          </w:rPr>
          <w:t>Site Information (Locations, Deployment Recipients)</w:t>
        </w:r>
        <w:r>
          <w:rPr>
            <w:noProof/>
            <w:webHidden/>
          </w:rPr>
          <w:tab/>
        </w:r>
        <w:r>
          <w:rPr>
            <w:noProof/>
            <w:webHidden/>
          </w:rPr>
          <w:fldChar w:fldCharType="begin"/>
        </w:r>
        <w:r>
          <w:rPr>
            <w:noProof/>
            <w:webHidden/>
          </w:rPr>
          <w:instrText xml:space="preserve"> PAGEREF _Toc486338229 \h </w:instrText>
        </w:r>
        <w:r>
          <w:rPr>
            <w:noProof/>
            <w:webHidden/>
          </w:rPr>
        </w:r>
        <w:r>
          <w:rPr>
            <w:noProof/>
            <w:webHidden/>
          </w:rPr>
          <w:fldChar w:fldCharType="separate"/>
        </w:r>
        <w:r>
          <w:rPr>
            <w:noProof/>
            <w:webHidden/>
          </w:rPr>
          <w:t>2</w:t>
        </w:r>
        <w:r>
          <w:rPr>
            <w:noProof/>
            <w:webHidden/>
          </w:rPr>
          <w:fldChar w:fldCharType="end"/>
        </w:r>
      </w:hyperlink>
    </w:p>
    <w:p w14:paraId="4D079982" w14:textId="77777777" w:rsidR="00711867" w:rsidRDefault="00711867">
      <w:pPr>
        <w:pStyle w:val="TOC3"/>
        <w:rPr>
          <w:rFonts w:asciiTheme="minorHAnsi" w:eastAsiaTheme="minorEastAsia" w:hAnsiTheme="minorHAnsi" w:cstheme="minorBidi"/>
          <w:b w:val="0"/>
          <w:noProof/>
          <w:sz w:val="22"/>
          <w:szCs w:val="22"/>
        </w:rPr>
      </w:pPr>
      <w:hyperlink w:anchor="_Toc486338230" w:history="1">
        <w:r w:rsidRPr="00454223">
          <w:rPr>
            <w:rStyle w:val="Hyperlink"/>
            <w:noProof/>
          </w:rPr>
          <w:t>3.2.3</w:t>
        </w:r>
        <w:r>
          <w:rPr>
            <w:rFonts w:asciiTheme="minorHAnsi" w:eastAsiaTheme="minorEastAsia" w:hAnsiTheme="minorHAnsi" w:cstheme="minorBidi"/>
            <w:b w:val="0"/>
            <w:noProof/>
            <w:sz w:val="22"/>
            <w:szCs w:val="22"/>
          </w:rPr>
          <w:tab/>
        </w:r>
        <w:r w:rsidRPr="00454223">
          <w:rPr>
            <w:rStyle w:val="Hyperlink"/>
            <w:noProof/>
          </w:rPr>
          <w:t>Site Preparation</w:t>
        </w:r>
        <w:r>
          <w:rPr>
            <w:noProof/>
            <w:webHidden/>
          </w:rPr>
          <w:tab/>
        </w:r>
        <w:r>
          <w:rPr>
            <w:noProof/>
            <w:webHidden/>
          </w:rPr>
          <w:fldChar w:fldCharType="begin"/>
        </w:r>
        <w:r>
          <w:rPr>
            <w:noProof/>
            <w:webHidden/>
          </w:rPr>
          <w:instrText xml:space="preserve"> PAGEREF _Toc486338230 \h </w:instrText>
        </w:r>
        <w:r>
          <w:rPr>
            <w:noProof/>
            <w:webHidden/>
          </w:rPr>
        </w:r>
        <w:r>
          <w:rPr>
            <w:noProof/>
            <w:webHidden/>
          </w:rPr>
          <w:fldChar w:fldCharType="separate"/>
        </w:r>
        <w:r>
          <w:rPr>
            <w:noProof/>
            <w:webHidden/>
          </w:rPr>
          <w:t>3</w:t>
        </w:r>
        <w:r>
          <w:rPr>
            <w:noProof/>
            <w:webHidden/>
          </w:rPr>
          <w:fldChar w:fldCharType="end"/>
        </w:r>
      </w:hyperlink>
    </w:p>
    <w:p w14:paraId="3798E0C6" w14:textId="77777777" w:rsidR="00711867" w:rsidRDefault="00711867">
      <w:pPr>
        <w:pStyle w:val="TOC2"/>
        <w:rPr>
          <w:rFonts w:asciiTheme="minorHAnsi" w:eastAsiaTheme="minorEastAsia" w:hAnsiTheme="minorHAnsi" w:cstheme="minorBidi"/>
          <w:b w:val="0"/>
          <w:noProof/>
          <w:sz w:val="22"/>
          <w:szCs w:val="22"/>
        </w:rPr>
      </w:pPr>
      <w:hyperlink w:anchor="_Toc486338231" w:history="1">
        <w:r w:rsidRPr="00454223">
          <w:rPr>
            <w:rStyle w:val="Hyperlink"/>
            <w:noProof/>
          </w:rPr>
          <w:t>3.3</w:t>
        </w:r>
        <w:r>
          <w:rPr>
            <w:rFonts w:asciiTheme="minorHAnsi" w:eastAsiaTheme="minorEastAsia" w:hAnsiTheme="minorHAnsi" w:cstheme="minorBidi"/>
            <w:b w:val="0"/>
            <w:noProof/>
            <w:sz w:val="22"/>
            <w:szCs w:val="22"/>
          </w:rPr>
          <w:tab/>
        </w:r>
        <w:r w:rsidRPr="00454223">
          <w:rPr>
            <w:rStyle w:val="Hyperlink"/>
            <w:noProof/>
          </w:rPr>
          <w:t>Resources</w:t>
        </w:r>
        <w:r>
          <w:rPr>
            <w:noProof/>
            <w:webHidden/>
          </w:rPr>
          <w:tab/>
        </w:r>
        <w:r>
          <w:rPr>
            <w:noProof/>
            <w:webHidden/>
          </w:rPr>
          <w:fldChar w:fldCharType="begin"/>
        </w:r>
        <w:r>
          <w:rPr>
            <w:noProof/>
            <w:webHidden/>
          </w:rPr>
          <w:instrText xml:space="preserve"> PAGEREF _Toc486338231 \h </w:instrText>
        </w:r>
        <w:r>
          <w:rPr>
            <w:noProof/>
            <w:webHidden/>
          </w:rPr>
        </w:r>
        <w:r>
          <w:rPr>
            <w:noProof/>
            <w:webHidden/>
          </w:rPr>
          <w:fldChar w:fldCharType="separate"/>
        </w:r>
        <w:r>
          <w:rPr>
            <w:noProof/>
            <w:webHidden/>
          </w:rPr>
          <w:t>3</w:t>
        </w:r>
        <w:r>
          <w:rPr>
            <w:noProof/>
            <w:webHidden/>
          </w:rPr>
          <w:fldChar w:fldCharType="end"/>
        </w:r>
      </w:hyperlink>
    </w:p>
    <w:p w14:paraId="7EF3EFE1" w14:textId="77777777" w:rsidR="00711867" w:rsidRDefault="00711867">
      <w:pPr>
        <w:pStyle w:val="TOC3"/>
        <w:rPr>
          <w:rFonts w:asciiTheme="minorHAnsi" w:eastAsiaTheme="minorEastAsia" w:hAnsiTheme="minorHAnsi" w:cstheme="minorBidi"/>
          <w:b w:val="0"/>
          <w:noProof/>
          <w:sz w:val="22"/>
          <w:szCs w:val="22"/>
        </w:rPr>
      </w:pPr>
      <w:hyperlink w:anchor="_Toc486338232" w:history="1">
        <w:r w:rsidRPr="00454223">
          <w:rPr>
            <w:rStyle w:val="Hyperlink"/>
            <w:noProof/>
          </w:rPr>
          <w:t>3.3.1</w:t>
        </w:r>
        <w:r>
          <w:rPr>
            <w:rFonts w:asciiTheme="minorHAnsi" w:eastAsiaTheme="minorEastAsia" w:hAnsiTheme="minorHAnsi" w:cstheme="minorBidi"/>
            <w:b w:val="0"/>
            <w:noProof/>
            <w:sz w:val="22"/>
            <w:szCs w:val="22"/>
          </w:rPr>
          <w:tab/>
        </w:r>
        <w:r w:rsidRPr="00454223">
          <w:rPr>
            <w:rStyle w:val="Hyperlink"/>
            <w:noProof/>
          </w:rPr>
          <w:t>Facility Specifics</w:t>
        </w:r>
        <w:r>
          <w:rPr>
            <w:noProof/>
            <w:webHidden/>
          </w:rPr>
          <w:tab/>
        </w:r>
        <w:r>
          <w:rPr>
            <w:noProof/>
            <w:webHidden/>
          </w:rPr>
          <w:fldChar w:fldCharType="begin"/>
        </w:r>
        <w:r>
          <w:rPr>
            <w:noProof/>
            <w:webHidden/>
          </w:rPr>
          <w:instrText xml:space="preserve"> PAGEREF _Toc486338232 \h </w:instrText>
        </w:r>
        <w:r>
          <w:rPr>
            <w:noProof/>
            <w:webHidden/>
          </w:rPr>
        </w:r>
        <w:r>
          <w:rPr>
            <w:noProof/>
            <w:webHidden/>
          </w:rPr>
          <w:fldChar w:fldCharType="separate"/>
        </w:r>
        <w:r>
          <w:rPr>
            <w:noProof/>
            <w:webHidden/>
          </w:rPr>
          <w:t>3</w:t>
        </w:r>
        <w:r>
          <w:rPr>
            <w:noProof/>
            <w:webHidden/>
          </w:rPr>
          <w:fldChar w:fldCharType="end"/>
        </w:r>
      </w:hyperlink>
    </w:p>
    <w:p w14:paraId="6F4696C7" w14:textId="77777777" w:rsidR="00711867" w:rsidRDefault="00711867">
      <w:pPr>
        <w:pStyle w:val="TOC3"/>
        <w:rPr>
          <w:rFonts w:asciiTheme="minorHAnsi" w:eastAsiaTheme="minorEastAsia" w:hAnsiTheme="minorHAnsi" w:cstheme="minorBidi"/>
          <w:b w:val="0"/>
          <w:noProof/>
          <w:sz w:val="22"/>
          <w:szCs w:val="22"/>
        </w:rPr>
      </w:pPr>
      <w:hyperlink w:anchor="_Toc486338233" w:history="1">
        <w:r w:rsidRPr="00454223">
          <w:rPr>
            <w:rStyle w:val="Hyperlink"/>
            <w:noProof/>
          </w:rPr>
          <w:t>3.3.2</w:t>
        </w:r>
        <w:r>
          <w:rPr>
            <w:rFonts w:asciiTheme="minorHAnsi" w:eastAsiaTheme="minorEastAsia" w:hAnsiTheme="minorHAnsi" w:cstheme="minorBidi"/>
            <w:b w:val="0"/>
            <w:noProof/>
            <w:sz w:val="22"/>
            <w:szCs w:val="22"/>
          </w:rPr>
          <w:tab/>
        </w:r>
        <w:r w:rsidRPr="00454223">
          <w:rPr>
            <w:rStyle w:val="Hyperlink"/>
            <w:noProof/>
          </w:rPr>
          <w:t>Hardware</w:t>
        </w:r>
        <w:r>
          <w:rPr>
            <w:noProof/>
            <w:webHidden/>
          </w:rPr>
          <w:tab/>
        </w:r>
        <w:r>
          <w:rPr>
            <w:noProof/>
            <w:webHidden/>
          </w:rPr>
          <w:fldChar w:fldCharType="begin"/>
        </w:r>
        <w:r>
          <w:rPr>
            <w:noProof/>
            <w:webHidden/>
          </w:rPr>
          <w:instrText xml:space="preserve"> PAGEREF _Toc486338233 \h </w:instrText>
        </w:r>
        <w:r>
          <w:rPr>
            <w:noProof/>
            <w:webHidden/>
          </w:rPr>
        </w:r>
        <w:r>
          <w:rPr>
            <w:noProof/>
            <w:webHidden/>
          </w:rPr>
          <w:fldChar w:fldCharType="separate"/>
        </w:r>
        <w:r>
          <w:rPr>
            <w:noProof/>
            <w:webHidden/>
          </w:rPr>
          <w:t>3</w:t>
        </w:r>
        <w:r>
          <w:rPr>
            <w:noProof/>
            <w:webHidden/>
          </w:rPr>
          <w:fldChar w:fldCharType="end"/>
        </w:r>
      </w:hyperlink>
    </w:p>
    <w:p w14:paraId="02133CDE" w14:textId="77777777" w:rsidR="00711867" w:rsidRDefault="00711867">
      <w:pPr>
        <w:pStyle w:val="TOC3"/>
        <w:rPr>
          <w:rFonts w:asciiTheme="minorHAnsi" w:eastAsiaTheme="minorEastAsia" w:hAnsiTheme="minorHAnsi" w:cstheme="minorBidi"/>
          <w:b w:val="0"/>
          <w:noProof/>
          <w:sz w:val="22"/>
          <w:szCs w:val="22"/>
        </w:rPr>
      </w:pPr>
      <w:hyperlink w:anchor="_Toc486338234" w:history="1">
        <w:r w:rsidRPr="00454223">
          <w:rPr>
            <w:rStyle w:val="Hyperlink"/>
            <w:noProof/>
          </w:rPr>
          <w:t>3.3.3</w:t>
        </w:r>
        <w:r>
          <w:rPr>
            <w:rFonts w:asciiTheme="minorHAnsi" w:eastAsiaTheme="minorEastAsia" w:hAnsiTheme="minorHAnsi" w:cstheme="minorBidi"/>
            <w:b w:val="0"/>
            <w:noProof/>
            <w:sz w:val="22"/>
            <w:szCs w:val="22"/>
          </w:rPr>
          <w:tab/>
        </w:r>
        <w:r w:rsidRPr="00454223">
          <w:rPr>
            <w:rStyle w:val="Hyperlink"/>
            <w:noProof/>
          </w:rPr>
          <w:t>Software</w:t>
        </w:r>
        <w:r>
          <w:rPr>
            <w:noProof/>
            <w:webHidden/>
          </w:rPr>
          <w:tab/>
        </w:r>
        <w:r>
          <w:rPr>
            <w:noProof/>
            <w:webHidden/>
          </w:rPr>
          <w:fldChar w:fldCharType="begin"/>
        </w:r>
        <w:r>
          <w:rPr>
            <w:noProof/>
            <w:webHidden/>
          </w:rPr>
          <w:instrText xml:space="preserve"> PAGEREF _Toc486338234 \h </w:instrText>
        </w:r>
        <w:r>
          <w:rPr>
            <w:noProof/>
            <w:webHidden/>
          </w:rPr>
        </w:r>
        <w:r>
          <w:rPr>
            <w:noProof/>
            <w:webHidden/>
          </w:rPr>
          <w:fldChar w:fldCharType="separate"/>
        </w:r>
        <w:r>
          <w:rPr>
            <w:noProof/>
            <w:webHidden/>
          </w:rPr>
          <w:t>4</w:t>
        </w:r>
        <w:r>
          <w:rPr>
            <w:noProof/>
            <w:webHidden/>
          </w:rPr>
          <w:fldChar w:fldCharType="end"/>
        </w:r>
      </w:hyperlink>
    </w:p>
    <w:p w14:paraId="3712CBC5" w14:textId="77777777" w:rsidR="00711867" w:rsidRDefault="00711867">
      <w:pPr>
        <w:pStyle w:val="TOC3"/>
        <w:rPr>
          <w:rFonts w:asciiTheme="minorHAnsi" w:eastAsiaTheme="minorEastAsia" w:hAnsiTheme="minorHAnsi" w:cstheme="minorBidi"/>
          <w:b w:val="0"/>
          <w:noProof/>
          <w:sz w:val="22"/>
          <w:szCs w:val="22"/>
        </w:rPr>
      </w:pPr>
      <w:hyperlink w:anchor="_Toc486338235" w:history="1">
        <w:r w:rsidRPr="00454223">
          <w:rPr>
            <w:rStyle w:val="Hyperlink"/>
            <w:noProof/>
          </w:rPr>
          <w:t>3.3.4</w:t>
        </w:r>
        <w:r>
          <w:rPr>
            <w:rFonts w:asciiTheme="minorHAnsi" w:eastAsiaTheme="minorEastAsia" w:hAnsiTheme="minorHAnsi" w:cstheme="minorBidi"/>
            <w:b w:val="0"/>
            <w:noProof/>
            <w:sz w:val="22"/>
            <w:szCs w:val="22"/>
          </w:rPr>
          <w:tab/>
        </w:r>
        <w:r w:rsidRPr="00454223">
          <w:rPr>
            <w:rStyle w:val="Hyperlink"/>
            <w:noProof/>
          </w:rPr>
          <w:t>Communications</w:t>
        </w:r>
        <w:r>
          <w:rPr>
            <w:noProof/>
            <w:webHidden/>
          </w:rPr>
          <w:tab/>
        </w:r>
        <w:r>
          <w:rPr>
            <w:noProof/>
            <w:webHidden/>
          </w:rPr>
          <w:fldChar w:fldCharType="begin"/>
        </w:r>
        <w:r>
          <w:rPr>
            <w:noProof/>
            <w:webHidden/>
          </w:rPr>
          <w:instrText xml:space="preserve"> PAGEREF _Toc486338235 \h </w:instrText>
        </w:r>
        <w:r>
          <w:rPr>
            <w:noProof/>
            <w:webHidden/>
          </w:rPr>
        </w:r>
        <w:r>
          <w:rPr>
            <w:noProof/>
            <w:webHidden/>
          </w:rPr>
          <w:fldChar w:fldCharType="separate"/>
        </w:r>
        <w:r>
          <w:rPr>
            <w:noProof/>
            <w:webHidden/>
          </w:rPr>
          <w:t>4</w:t>
        </w:r>
        <w:r>
          <w:rPr>
            <w:noProof/>
            <w:webHidden/>
          </w:rPr>
          <w:fldChar w:fldCharType="end"/>
        </w:r>
      </w:hyperlink>
    </w:p>
    <w:p w14:paraId="6720041B" w14:textId="77777777" w:rsidR="00711867" w:rsidRDefault="00711867">
      <w:pPr>
        <w:pStyle w:val="TOC4"/>
        <w:tabs>
          <w:tab w:val="left" w:pos="1760"/>
          <w:tab w:val="right" w:leader="dot" w:pos="9350"/>
        </w:tabs>
        <w:rPr>
          <w:rFonts w:asciiTheme="minorHAnsi" w:eastAsiaTheme="minorEastAsia" w:hAnsiTheme="minorHAnsi" w:cstheme="minorBidi"/>
          <w:noProof/>
          <w:szCs w:val="22"/>
        </w:rPr>
      </w:pPr>
      <w:hyperlink w:anchor="_Toc486338236" w:history="1">
        <w:r w:rsidRPr="00454223">
          <w:rPr>
            <w:rStyle w:val="Hyperlink"/>
            <w:noProof/>
          </w:rPr>
          <w:t>3.3.4.1</w:t>
        </w:r>
        <w:r>
          <w:rPr>
            <w:rFonts w:asciiTheme="minorHAnsi" w:eastAsiaTheme="minorEastAsia" w:hAnsiTheme="minorHAnsi" w:cstheme="minorBidi"/>
            <w:noProof/>
            <w:szCs w:val="22"/>
          </w:rPr>
          <w:tab/>
        </w:r>
        <w:r w:rsidRPr="00454223">
          <w:rPr>
            <w:rStyle w:val="Hyperlink"/>
            <w:noProof/>
          </w:rPr>
          <w:t>Deployment/Installation/Back-Out Checklist</w:t>
        </w:r>
        <w:r>
          <w:rPr>
            <w:noProof/>
            <w:webHidden/>
          </w:rPr>
          <w:tab/>
        </w:r>
        <w:r>
          <w:rPr>
            <w:noProof/>
            <w:webHidden/>
          </w:rPr>
          <w:fldChar w:fldCharType="begin"/>
        </w:r>
        <w:r>
          <w:rPr>
            <w:noProof/>
            <w:webHidden/>
          </w:rPr>
          <w:instrText xml:space="preserve"> PAGEREF _Toc486338236 \h </w:instrText>
        </w:r>
        <w:r>
          <w:rPr>
            <w:noProof/>
            <w:webHidden/>
          </w:rPr>
        </w:r>
        <w:r>
          <w:rPr>
            <w:noProof/>
            <w:webHidden/>
          </w:rPr>
          <w:fldChar w:fldCharType="separate"/>
        </w:r>
        <w:r>
          <w:rPr>
            <w:noProof/>
            <w:webHidden/>
          </w:rPr>
          <w:t>4</w:t>
        </w:r>
        <w:r>
          <w:rPr>
            <w:noProof/>
            <w:webHidden/>
          </w:rPr>
          <w:fldChar w:fldCharType="end"/>
        </w:r>
      </w:hyperlink>
    </w:p>
    <w:p w14:paraId="524A71D9" w14:textId="77777777" w:rsidR="00711867" w:rsidRDefault="00711867">
      <w:pPr>
        <w:pStyle w:val="TOC1"/>
        <w:rPr>
          <w:rFonts w:asciiTheme="minorHAnsi" w:eastAsiaTheme="minorEastAsia" w:hAnsiTheme="minorHAnsi" w:cstheme="minorBidi"/>
          <w:b w:val="0"/>
          <w:noProof/>
          <w:sz w:val="22"/>
          <w:szCs w:val="22"/>
        </w:rPr>
      </w:pPr>
      <w:hyperlink w:anchor="_Toc486338237" w:history="1">
        <w:r w:rsidRPr="00454223">
          <w:rPr>
            <w:rStyle w:val="Hyperlink"/>
            <w:noProof/>
          </w:rPr>
          <w:t>4</w:t>
        </w:r>
        <w:r>
          <w:rPr>
            <w:rFonts w:asciiTheme="minorHAnsi" w:eastAsiaTheme="minorEastAsia" w:hAnsiTheme="minorHAnsi" w:cstheme="minorBidi"/>
            <w:b w:val="0"/>
            <w:noProof/>
            <w:sz w:val="22"/>
            <w:szCs w:val="22"/>
          </w:rPr>
          <w:tab/>
        </w:r>
        <w:r w:rsidRPr="00454223">
          <w:rPr>
            <w:rStyle w:val="Hyperlink"/>
            <w:noProof/>
          </w:rPr>
          <w:t>Installation</w:t>
        </w:r>
        <w:r>
          <w:rPr>
            <w:noProof/>
            <w:webHidden/>
          </w:rPr>
          <w:tab/>
        </w:r>
        <w:r>
          <w:rPr>
            <w:noProof/>
            <w:webHidden/>
          </w:rPr>
          <w:fldChar w:fldCharType="begin"/>
        </w:r>
        <w:r>
          <w:rPr>
            <w:noProof/>
            <w:webHidden/>
          </w:rPr>
          <w:instrText xml:space="preserve"> PAGEREF _Toc486338237 \h </w:instrText>
        </w:r>
        <w:r>
          <w:rPr>
            <w:noProof/>
            <w:webHidden/>
          </w:rPr>
        </w:r>
        <w:r>
          <w:rPr>
            <w:noProof/>
            <w:webHidden/>
          </w:rPr>
          <w:fldChar w:fldCharType="separate"/>
        </w:r>
        <w:r>
          <w:rPr>
            <w:noProof/>
            <w:webHidden/>
          </w:rPr>
          <w:t>5</w:t>
        </w:r>
        <w:r>
          <w:rPr>
            <w:noProof/>
            <w:webHidden/>
          </w:rPr>
          <w:fldChar w:fldCharType="end"/>
        </w:r>
      </w:hyperlink>
    </w:p>
    <w:p w14:paraId="0CFE7D35" w14:textId="77777777" w:rsidR="00711867" w:rsidRDefault="00711867">
      <w:pPr>
        <w:pStyle w:val="TOC2"/>
        <w:rPr>
          <w:rFonts w:asciiTheme="minorHAnsi" w:eastAsiaTheme="minorEastAsia" w:hAnsiTheme="minorHAnsi" w:cstheme="minorBidi"/>
          <w:b w:val="0"/>
          <w:noProof/>
          <w:sz w:val="22"/>
          <w:szCs w:val="22"/>
        </w:rPr>
      </w:pPr>
      <w:hyperlink w:anchor="_Toc486338238" w:history="1">
        <w:r w:rsidRPr="00454223">
          <w:rPr>
            <w:rStyle w:val="Hyperlink"/>
            <w:noProof/>
          </w:rPr>
          <w:t>4.1</w:t>
        </w:r>
        <w:r>
          <w:rPr>
            <w:rFonts w:asciiTheme="minorHAnsi" w:eastAsiaTheme="minorEastAsia" w:hAnsiTheme="minorHAnsi" w:cstheme="minorBidi"/>
            <w:b w:val="0"/>
            <w:noProof/>
            <w:sz w:val="22"/>
            <w:szCs w:val="22"/>
          </w:rPr>
          <w:tab/>
        </w:r>
        <w:r w:rsidRPr="00454223">
          <w:rPr>
            <w:rStyle w:val="Hyperlink"/>
            <w:noProof/>
          </w:rPr>
          <w:t>Pre-installation and System Requirements</w:t>
        </w:r>
        <w:r>
          <w:rPr>
            <w:noProof/>
            <w:webHidden/>
          </w:rPr>
          <w:tab/>
        </w:r>
        <w:r>
          <w:rPr>
            <w:noProof/>
            <w:webHidden/>
          </w:rPr>
          <w:fldChar w:fldCharType="begin"/>
        </w:r>
        <w:r>
          <w:rPr>
            <w:noProof/>
            <w:webHidden/>
          </w:rPr>
          <w:instrText xml:space="preserve"> PAGEREF _Toc486338238 \h </w:instrText>
        </w:r>
        <w:r>
          <w:rPr>
            <w:noProof/>
            <w:webHidden/>
          </w:rPr>
        </w:r>
        <w:r>
          <w:rPr>
            <w:noProof/>
            <w:webHidden/>
          </w:rPr>
          <w:fldChar w:fldCharType="separate"/>
        </w:r>
        <w:r>
          <w:rPr>
            <w:noProof/>
            <w:webHidden/>
          </w:rPr>
          <w:t>5</w:t>
        </w:r>
        <w:r>
          <w:rPr>
            <w:noProof/>
            <w:webHidden/>
          </w:rPr>
          <w:fldChar w:fldCharType="end"/>
        </w:r>
      </w:hyperlink>
    </w:p>
    <w:p w14:paraId="1A1618E6" w14:textId="77777777" w:rsidR="00711867" w:rsidRDefault="00711867">
      <w:pPr>
        <w:pStyle w:val="TOC2"/>
        <w:rPr>
          <w:rFonts w:asciiTheme="minorHAnsi" w:eastAsiaTheme="minorEastAsia" w:hAnsiTheme="minorHAnsi" w:cstheme="minorBidi"/>
          <w:b w:val="0"/>
          <w:noProof/>
          <w:sz w:val="22"/>
          <w:szCs w:val="22"/>
        </w:rPr>
      </w:pPr>
      <w:hyperlink w:anchor="_Toc486338239" w:history="1">
        <w:r w:rsidRPr="00454223">
          <w:rPr>
            <w:rStyle w:val="Hyperlink"/>
            <w:noProof/>
          </w:rPr>
          <w:t>4.2</w:t>
        </w:r>
        <w:r>
          <w:rPr>
            <w:rFonts w:asciiTheme="minorHAnsi" w:eastAsiaTheme="minorEastAsia" w:hAnsiTheme="minorHAnsi" w:cstheme="minorBidi"/>
            <w:b w:val="0"/>
            <w:noProof/>
            <w:sz w:val="22"/>
            <w:szCs w:val="22"/>
          </w:rPr>
          <w:tab/>
        </w:r>
        <w:r w:rsidRPr="00454223">
          <w:rPr>
            <w:rStyle w:val="Hyperlink"/>
            <w:noProof/>
          </w:rPr>
          <w:t>Platform Installation and Preparation</w:t>
        </w:r>
        <w:r>
          <w:rPr>
            <w:noProof/>
            <w:webHidden/>
          </w:rPr>
          <w:tab/>
        </w:r>
        <w:r>
          <w:rPr>
            <w:noProof/>
            <w:webHidden/>
          </w:rPr>
          <w:fldChar w:fldCharType="begin"/>
        </w:r>
        <w:r>
          <w:rPr>
            <w:noProof/>
            <w:webHidden/>
          </w:rPr>
          <w:instrText xml:space="preserve"> PAGEREF _Toc486338239 \h </w:instrText>
        </w:r>
        <w:r>
          <w:rPr>
            <w:noProof/>
            <w:webHidden/>
          </w:rPr>
        </w:r>
        <w:r>
          <w:rPr>
            <w:noProof/>
            <w:webHidden/>
          </w:rPr>
          <w:fldChar w:fldCharType="separate"/>
        </w:r>
        <w:r>
          <w:rPr>
            <w:noProof/>
            <w:webHidden/>
          </w:rPr>
          <w:t>5</w:t>
        </w:r>
        <w:r>
          <w:rPr>
            <w:noProof/>
            <w:webHidden/>
          </w:rPr>
          <w:fldChar w:fldCharType="end"/>
        </w:r>
      </w:hyperlink>
    </w:p>
    <w:p w14:paraId="5CC5DD56" w14:textId="77777777" w:rsidR="00711867" w:rsidRDefault="00711867">
      <w:pPr>
        <w:pStyle w:val="TOC2"/>
        <w:rPr>
          <w:rFonts w:asciiTheme="minorHAnsi" w:eastAsiaTheme="minorEastAsia" w:hAnsiTheme="minorHAnsi" w:cstheme="minorBidi"/>
          <w:b w:val="0"/>
          <w:noProof/>
          <w:sz w:val="22"/>
          <w:szCs w:val="22"/>
        </w:rPr>
      </w:pPr>
      <w:hyperlink w:anchor="_Toc486338240" w:history="1">
        <w:r w:rsidRPr="00454223">
          <w:rPr>
            <w:rStyle w:val="Hyperlink"/>
            <w:noProof/>
          </w:rPr>
          <w:t>4.3</w:t>
        </w:r>
        <w:r>
          <w:rPr>
            <w:rFonts w:asciiTheme="minorHAnsi" w:eastAsiaTheme="minorEastAsia" w:hAnsiTheme="minorHAnsi" w:cstheme="minorBidi"/>
            <w:b w:val="0"/>
            <w:noProof/>
            <w:sz w:val="22"/>
            <w:szCs w:val="22"/>
          </w:rPr>
          <w:tab/>
        </w:r>
        <w:r w:rsidRPr="00454223">
          <w:rPr>
            <w:rStyle w:val="Hyperlink"/>
            <w:noProof/>
          </w:rPr>
          <w:t>Download and Extract Files</w:t>
        </w:r>
        <w:r>
          <w:rPr>
            <w:noProof/>
            <w:webHidden/>
          </w:rPr>
          <w:tab/>
        </w:r>
        <w:r>
          <w:rPr>
            <w:noProof/>
            <w:webHidden/>
          </w:rPr>
          <w:fldChar w:fldCharType="begin"/>
        </w:r>
        <w:r>
          <w:rPr>
            <w:noProof/>
            <w:webHidden/>
          </w:rPr>
          <w:instrText xml:space="preserve"> PAGEREF _Toc486338240 \h </w:instrText>
        </w:r>
        <w:r>
          <w:rPr>
            <w:noProof/>
            <w:webHidden/>
          </w:rPr>
        </w:r>
        <w:r>
          <w:rPr>
            <w:noProof/>
            <w:webHidden/>
          </w:rPr>
          <w:fldChar w:fldCharType="separate"/>
        </w:r>
        <w:r>
          <w:rPr>
            <w:noProof/>
            <w:webHidden/>
          </w:rPr>
          <w:t>5</w:t>
        </w:r>
        <w:r>
          <w:rPr>
            <w:noProof/>
            <w:webHidden/>
          </w:rPr>
          <w:fldChar w:fldCharType="end"/>
        </w:r>
      </w:hyperlink>
    </w:p>
    <w:p w14:paraId="2DC90569" w14:textId="77777777" w:rsidR="00711867" w:rsidRDefault="00711867">
      <w:pPr>
        <w:pStyle w:val="TOC2"/>
        <w:rPr>
          <w:rFonts w:asciiTheme="minorHAnsi" w:eastAsiaTheme="minorEastAsia" w:hAnsiTheme="minorHAnsi" w:cstheme="minorBidi"/>
          <w:b w:val="0"/>
          <w:noProof/>
          <w:sz w:val="22"/>
          <w:szCs w:val="22"/>
        </w:rPr>
      </w:pPr>
      <w:hyperlink w:anchor="_Toc486338241" w:history="1">
        <w:r w:rsidRPr="00454223">
          <w:rPr>
            <w:rStyle w:val="Hyperlink"/>
            <w:noProof/>
          </w:rPr>
          <w:t>4.4</w:t>
        </w:r>
        <w:r>
          <w:rPr>
            <w:rFonts w:asciiTheme="minorHAnsi" w:eastAsiaTheme="minorEastAsia" w:hAnsiTheme="minorHAnsi" w:cstheme="minorBidi"/>
            <w:b w:val="0"/>
            <w:noProof/>
            <w:sz w:val="22"/>
            <w:szCs w:val="22"/>
          </w:rPr>
          <w:tab/>
        </w:r>
        <w:r w:rsidRPr="00454223">
          <w:rPr>
            <w:rStyle w:val="Hyperlink"/>
            <w:noProof/>
          </w:rPr>
          <w:t>Database Creation</w:t>
        </w:r>
        <w:r>
          <w:rPr>
            <w:noProof/>
            <w:webHidden/>
          </w:rPr>
          <w:tab/>
        </w:r>
        <w:r>
          <w:rPr>
            <w:noProof/>
            <w:webHidden/>
          </w:rPr>
          <w:fldChar w:fldCharType="begin"/>
        </w:r>
        <w:r>
          <w:rPr>
            <w:noProof/>
            <w:webHidden/>
          </w:rPr>
          <w:instrText xml:space="preserve"> PAGEREF _Toc486338241 \h </w:instrText>
        </w:r>
        <w:r>
          <w:rPr>
            <w:noProof/>
            <w:webHidden/>
          </w:rPr>
        </w:r>
        <w:r>
          <w:rPr>
            <w:noProof/>
            <w:webHidden/>
          </w:rPr>
          <w:fldChar w:fldCharType="separate"/>
        </w:r>
        <w:r>
          <w:rPr>
            <w:noProof/>
            <w:webHidden/>
          </w:rPr>
          <w:t>5</w:t>
        </w:r>
        <w:r>
          <w:rPr>
            <w:noProof/>
            <w:webHidden/>
          </w:rPr>
          <w:fldChar w:fldCharType="end"/>
        </w:r>
      </w:hyperlink>
    </w:p>
    <w:p w14:paraId="13E14678" w14:textId="77777777" w:rsidR="00711867" w:rsidRDefault="00711867">
      <w:pPr>
        <w:pStyle w:val="TOC2"/>
        <w:rPr>
          <w:rFonts w:asciiTheme="minorHAnsi" w:eastAsiaTheme="minorEastAsia" w:hAnsiTheme="minorHAnsi" w:cstheme="minorBidi"/>
          <w:b w:val="0"/>
          <w:noProof/>
          <w:sz w:val="22"/>
          <w:szCs w:val="22"/>
        </w:rPr>
      </w:pPr>
      <w:hyperlink w:anchor="_Toc486338242" w:history="1">
        <w:r w:rsidRPr="00454223">
          <w:rPr>
            <w:rStyle w:val="Hyperlink"/>
            <w:noProof/>
          </w:rPr>
          <w:t>4.5</w:t>
        </w:r>
        <w:r>
          <w:rPr>
            <w:rFonts w:asciiTheme="minorHAnsi" w:eastAsiaTheme="minorEastAsia" w:hAnsiTheme="minorHAnsi" w:cstheme="minorBidi"/>
            <w:b w:val="0"/>
            <w:noProof/>
            <w:sz w:val="22"/>
            <w:szCs w:val="22"/>
          </w:rPr>
          <w:tab/>
        </w:r>
        <w:r w:rsidRPr="00454223">
          <w:rPr>
            <w:rStyle w:val="Hyperlink"/>
            <w:noProof/>
          </w:rPr>
          <w:t>Installation Scripts</w:t>
        </w:r>
        <w:r>
          <w:rPr>
            <w:noProof/>
            <w:webHidden/>
          </w:rPr>
          <w:tab/>
        </w:r>
        <w:r>
          <w:rPr>
            <w:noProof/>
            <w:webHidden/>
          </w:rPr>
          <w:fldChar w:fldCharType="begin"/>
        </w:r>
        <w:r>
          <w:rPr>
            <w:noProof/>
            <w:webHidden/>
          </w:rPr>
          <w:instrText xml:space="preserve"> PAGEREF _Toc486338242 \h </w:instrText>
        </w:r>
        <w:r>
          <w:rPr>
            <w:noProof/>
            <w:webHidden/>
          </w:rPr>
        </w:r>
        <w:r>
          <w:rPr>
            <w:noProof/>
            <w:webHidden/>
          </w:rPr>
          <w:fldChar w:fldCharType="separate"/>
        </w:r>
        <w:r>
          <w:rPr>
            <w:noProof/>
            <w:webHidden/>
          </w:rPr>
          <w:t>5</w:t>
        </w:r>
        <w:r>
          <w:rPr>
            <w:noProof/>
            <w:webHidden/>
          </w:rPr>
          <w:fldChar w:fldCharType="end"/>
        </w:r>
      </w:hyperlink>
    </w:p>
    <w:p w14:paraId="44591B59" w14:textId="77777777" w:rsidR="00711867" w:rsidRDefault="00711867">
      <w:pPr>
        <w:pStyle w:val="TOC2"/>
        <w:rPr>
          <w:rFonts w:asciiTheme="minorHAnsi" w:eastAsiaTheme="minorEastAsia" w:hAnsiTheme="minorHAnsi" w:cstheme="minorBidi"/>
          <w:b w:val="0"/>
          <w:noProof/>
          <w:sz w:val="22"/>
          <w:szCs w:val="22"/>
        </w:rPr>
      </w:pPr>
      <w:hyperlink w:anchor="_Toc486338243" w:history="1">
        <w:r w:rsidRPr="00454223">
          <w:rPr>
            <w:rStyle w:val="Hyperlink"/>
            <w:noProof/>
          </w:rPr>
          <w:t>4.6</w:t>
        </w:r>
        <w:r>
          <w:rPr>
            <w:rFonts w:asciiTheme="minorHAnsi" w:eastAsiaTheme="minorEastAsia" w:hAnsiTheme="minorHAnsi" w:cstheme="minorBidi"/>
            <w:b w:val="0"/>
            <w:noProof/>
            <w:sz w:val="22"/>
            <w:szCs w:val="22"/>
          </w:rPr>
          <w:tab/>
        </w:r>
        <w:r w:rsidRPr="00454223">
          <w:rPr>
            <w:rStyle w:val="Hyperlink"/>
            <w:noProof/>
          </w:rPr>
          <w:t>Cron Scripts</w:t>
        </w:r>
        <w:r>
          <w:rPr>
            <w:noProof/>
            <w:webHidden/>
          </w:rPr>
          <w:tab/>
        </w:r>
        <w:r>
          <w:rPr>
            <w:noProof/>
            <w:webHidden/>
          </w:rPr>
          <w:fldChar w:fldCharType="begin"/>
        </w:r>
        <w:r>
          <w:rPr>
            <w:noProof/>
            <w:webHidden/>
          </w:rPr>
          <w:instrText xml:space="preserve"> PAGEREF _Toc486338243 \h </w:instrText>
        </w:r>
        <w:r>
          <w:rPr>
            <w:noProof/>
            <w:webHidden/>
          </w:rPr>
        </w:r>
        <w:r>
          <w:rPr>
            <w:noProof/>
            <w:webHidden/>
          </w:rPr>
          <w:fldChar w:fldCharType="separate"/>
        </w:r>
        <w:r>
          <w:rPr>
            <w:noProof/>
            <w:webHidden/>
          </w:rPr>
          <w:t>5</w:t>
        </w:r>
        <w:r>
          <w:rPr>
            <w:noProof/>
            <w:webHidden/>
          </w:rPr>
          <w:fldChar w:fldCharType="end"/>
        </w:r>
      </w:hyperlink>
    </w:p>
    <w:p w14:paraId="297AF030" w14:textId="77777777" w:rsidR="00711867" w:rsidRDefault="00711867">
      <w:pPr>
        <w:pStyle w:val="TOC2"/>
        <w:rPr>
          <w:rFonts w:asciiTheme="minorHAnsi" w:eastAsiaTheme="minorEastAsia" w:hAnsiTheme="minorHAnsi" w:cstheme="minorBidi"/>
          <w:b w:val="0"/>
          <w:noProof/>
          <w:sz w:val="22"/>
          <w:szCs w:val="22"/>
        </w:rPr>
      </w:pPr>
      <w:hyperlink w:anchor="_Toc486338244" w:history="1">
        <w:r w:rsidRPr="00454223">
          <w:rPr>
            <w:rStyle w:val="Hyperlink"/>
            <w:noProof/>
          </w:rPr>
          <w:t>4.7</w:t>
        </w:r>
        <w:r>
          <w:rPr>
            <w:rFonts w:asciiTheme="minorHAnsi" w:eastAsiaTheme="minorEastAsia" w:hAnsiTheme="minorHAnsi" w:cstheme="minorBidi"/>
            <w:b w:val="0"/>
            <w:noProof/>
            <w:sz w:val="22"/>
            <w:szCs w:val="22"/>
          </w:rPr>
          <w:tab/>
        </w:r>
        <w:r w:rsidRPr="00454223">
          <w:rPr>
            <w:rStyle w:val="Hyperlink"/>
            <w:noProof/>
          </w:rPr>
          <w:t>Access Requirements and Skills Needed for the Installation</w:t>
        </w:r>
        <w:r>
          <w:rPr>
            <w:noProof/>
            <w:webHidden/>
          </w:rPr>
          <w:tab/>
        </w:r>
        <w:r>
          <w:rPr>
            <w:noProof/>
            <w:webHidden/>
          </w:rPr>
          <w:fldChar w:fldCharType="begin"/>
        </w:r>
        <w:r>
          <w:rPr>
            <w:noProof/>
            <w:webHidden/>
          </w:rPr>
          <w:instrText xml:space="preserve"> PAGEREF _Toc486338244 \h </w:instrText>
        </w:r>
        <w:r>
          <w:rPr>
            <w:noProof/>
            <w:webHidden/>
          </w:rPr>
        </w:r>
        <w:r>
          <w:rPr>
            <w:noProof/>
            <w:webHidden/>
          </w:rPr>
          <w:fldChar w:fldCharType="separate"/>
        </w:r>
        <w:r>
          <w:rPr>
            <w:noProof/>
            <w:webHidden/>
          </w:rPr>
          <w:t>6</w:t>
        </w:r>
        <w:r>
          <w:rPr>
            <w:noProof/>
            <w:webHidden/>
          </w:rPr>
          <w:fldChar w:fldCharType="end"/>
        </w:r>
      </w:hyperlink>
    </w:p>
    <w:p w14:paraId="6C5D2685" w14:textId="77777777" w:rsidR="00711867" w:rsidRDefault="00711867">
      <w:pPr>
        <w:pStyle w:val="TOC2"/>
        <w:rPr>
          <w:rFonts w:asciiTheme="minorHAnsi" w:eastAsiaTheme="minorEastAsia" w:hAnsiTheme="minorHAnsi" w:cstheme="minorBidi"/>
          <w:b w:val="0"/>
          <w:noProof/>
          <w:sz w:val="22"/>
          <w:szCs w:val="22"/>
        </w:rPr>
      </w:pPr>
      <w:hyperlink w:anchor="_Toc486338245" w:history="1">
        <w:r w:rsidRPr="00454223">
          <w:rPr>
            <w:rStyle w:val="Hyperlink"/>
            <w:noProof/>
          </w:rPr>
          <w:t>4.8</w:t>
        </w:r>
        <w:r>
          <w:rPr>
            <w:rFonts w:asciiTheme="minorHAnsi" w:eastAsiaTheme="minorEastAsia" w:hAnsiTheme="minorHAnsi" w:cstheme="minorBidi"/>
            <w:b w:val="0"/>
            <w:noProof/>
            <w:sz w:val="22"/>
            <w:szCs w:val="22"/>
          </w:rPr>
          <w:tab/>
        </w:r>
        <w:r w:rsidRPr="00454223">
          <w:rPr>
            <w:rStyle w:val="Hyperlink"/>
            <w:noProof/>
          </w:rPr>
          <w:t>Installation Procedure</w:t>
        </w:r>
        <w:r>
          <w:rPr>
            <w:noProof/>
            <w:webHidden/>
          </w:rPr>
          <w:tab/>
        </w:r>
        <w:r>
          <w:rPr>
            <w:noProof/>
            <w:webHidden/>
          </w:rPr>
          <w:fldChar w:fldCharType="begin"/>
        </w:r>
        <w:r>
          <w:rPr>
            <w:noProof/>
            <w:webHidden/>
          </w:rPr>
          <w:instrText xml:space="preserve"> PAGEREF _Toc486338245 \h </w:instrText>
        </w:r>
        <w:r>
          <w:rPr>
            <w:noProof/>
            <w:webHidden/>
          </w:rPr>
        </w:r>
        <w:r>
          <w:rPr>
            <w:noProof/>
            <w:webHidden/>
          </w:rPr>
          <w:fldChar w:fldCharType="separate"/>
        </w:r>
        <w:r>
          <w:rPr>
            <w:noProof/>
            <w:webHidden/>
          </w:rPr>
          <w:t>6</w:t>
        </w:r>
        <w:r>
          <w:rPr>
            <w:noProof/>
            <w:webHidden/>
          </w:rPr>
          <w:fldChar w:fldCharType="end"/>
        </w:r>
      </w:hyperlink>
    </w:p>
    <w:p w14:paraId="4C9BA84A" w14:textId="77777777" w:rsidR="00711867" w:rsidRDefault="00711867">
      <w:pPr>
        <w:pStyle w:val="TOC2"/>
        <w:rPr>
          <w:rFonts w:asciiTheme="minorHAnsi" w:eastAsiaTheme="minorEastAsia" w:hAnsiTheme="minorHAnsi" w:cstheme="minorBidi"/>
          <w:b w:val="0"/>
          <w:noProof/>
          <w:sz w:val="22"/>
          <w:szCs w:val="22"/>
        </w:rPr>
      </w:pPr>
      <w:hyperlink w:anchor="_Toc486338246" w:history="1">
        <w:r w:rsidRPr="00454223">
          <w:rPr>
            <w:rStyle w:val="Hyperlink"/>
            <w:noProof/>
          </w:rPr>
          <w:t>4.9</w:t>
        </w:r>
        <w:r>
          <w:rPr>
            <w:rFonts w:asciiTheme="minorHAnsi" w:eastAsiaTheme="minorEastAsia" w:hAnsiTheme="minorHAnsi" w:cstheme="minorBidi"/>
            <w:b w:val="0"/>
            <w:noProof/>
            <w:sz w:val="22"/>
            <w:szCs w:val="22"/>
          </w:rPr>
          <w:tab/>
        </w:r>
        <w:r w:rsidRPr="00454223">
          <w:rPr>
            <w:rStyle w:val="Hyperlink"/>
            <w:noProof/>
          </w:rPr>
          <w:t>Installation Verification Procedure</w:t>
        </w:r>
        <w:r>
          <w:rPr>
            <w:noProof/>
            <w:webHidden/>
          </w:rPr>
          <w:tab/>
        </w:r>
        <w:r>
          <w:rPr>
            <w:noProof/>
            <w:webHidden/>
          </w:rPr>
          <w:fldChar w:fldCharType="begin"/>
        </w:r>
        <w:r>
          <w:rPr>
            <w:noProof/>
            <w:webHidden/>
          </w:rPr>
          <w:instrText xml:space="preserve"> PAGEREF _Toc486338246 \h </w:instrText>
        </w:r>
        <w:r>
          <w:rPr>
            <w:noProof/>
            <w:webHidden/>
          </w:rPr>
        </w:r>
        <w:r>
          <w:rPr>
            <w:noProof/>
            <w:webHidden/>
          </w:rPr>
          <w:fldChar w:fldCharType="separate"/>
        </w:r>
        <w:r>
          <w:rPr>
            <w:noProof/>
            <w:webHidden/>
          </w:rPr>
          <w:t>6</w:t>
        </w:r>
        <w:r>
          <w:rPr>
            <w:noProof/>
            <w:webHidden/>
          </w:rPr>
          <w:fldChar w:fldCharType="end"/>
        </w:r>
      </w:hyperlink>
    </w:p>
    <w:p w14:paraId="0A93EEFC" w14:textId="77777777" w:rsidR="00711867" w:rsidRDefault="00711867">
      <w:pPr>
        <w:pStyle w:val="TOC2"/>
        <w:rPr>
          <w:rFonts w:asciiTheme="minorHAnsi" w:eastAsiaTheme="minorEastAsia" w:hAnsiTheme="minorHAnsi" w:cstheme="minorBidi"/>
          <w:b w:val="0"/>
          <w:noProof/>
          <w:sz w:val="22"/>
          <w:szCs w:val="22"/>
        </w:rPr>
      </w:pPr>
      <w:hyperlink w:anchor="_Toc486338247" w:history="1">
        <w:r w:rsidRPr="00454223">
          <w:rPr>
            <w:rStyle w:val="Hyperlink"/>
            <w:noProof/>
          </w:rPr>
          <w:t>4.10</w:t>
        </w:r>
        <w:r>
          <w:rPr>
            <w:rFonts w:asciiTheme="minorHAnsi" w:eastAsiaTheme="minorEastAsia" w:hAnsiTheme="minorHAnsi" w:cstheme="minorBidi"/>
            <w:b w:val="0"/>
            <w:noProof/>
            <w:sz w:val="22"/>
            <w:szCs w:val="22"/>
          </w:rPr>
          <w:tab/>
        </w:r>
        <w:r w:rsidRPr="00454223">
          <w:rPr>
            <w:rStyle w:val="Hyperlink"/>
            <w:noProof/>
          </w:rPr>
          <w:t>System Configuration</w:t>
        </w:r>
        <w:r>
          <w:rPr>
            <w:noProof/>
            <w:webHidden/>
          </w:rPr>
          <w:tab/>
        </w:r>
        <w:r>
          <w:rPr>
            <w:noProof/>
            <w:webHidden/>
          </w:rPr>
          <w:fldChar w:fldCharType="begin"/>
        </w:r>
        <w:r>
          <w:rPr>
            <w:noProof/>
            <w:webHidden/>
          </w:rPr>
          <w:instrText xml:space="preserve"> PAGEREF _Toc486338247 \h </w:instrText>
        </w:r>
        <w:r>
          <w:rPr>
            <w:noProof/>
            <w:webHidden/>
          </w:rPr>
        </w:r>
        <w:r>
          <w:rPr>
            <w:noProof/>
            <w:webHidden/>
          </w:rPr>
          <w:fldChar w:fldCharType="separate"/>
        </w:r>
        <w:r>
          <w:rPr>
            <w:noProof/>
            <w:webHidden/>
          </w:rPr>
          <w:t>6</w:t>
        </w:r>
        <w:r>
          <w:rPr>
            <w:noProof/>
            <w:webHidden/>
          </w:rPr>
          <w:fldChar w:fldCharType="end"/>
        </w:r>
      </w:hyperlink>
    </w:p>
    <w:p w14:paraId="6843F3B0" w14:textId="77777777" w:rsidR="00711867" w:rsidRDefault="00711867">
      <w:pPr>
        <w:pStyle w:val="TOC2"/>
        <w:rPr>
          <w:rFonts w:asciiTheme="minorHAnsi" w:eastAsiaTheme="minorEastAsia" w:hAnsiTheme="minorHAnsi" w:cstheme="minorBidi"/>
          <w:b w:val="0"/>
          <w:noProof/>
          <w:sz w:val="22"/>
          <w:szCs w:val="22"/>
        </w:rPr>
      </w:pPr>
      <w:hyperlink w:anchor="_Toc486338248" w:history="1">
        <w:r w:rsidRPr="00454223">
          <w:rPr>
            <w:rStyle w:val="Hyperlink"/>
            <w:noProof/>
          </w:rPr>
          <w:t>4.11</w:t>
        </w:r>
        <w:r>
          <w:rPr>
            <w:rFonts w:asciiTheme="minorHAnsi" w:eastAsiaTheme="minorEastAsia" w:hAnsiTheme="minorHAnsi" w:cstheme="minorBidi"/>
            <w:b w:val="0"/>
            <w:noProof/>
            <w:sz w:val="22"/>
            <w:szCs w:val="22"/>
          </w:rPr>
          <w:tab/>
        </w:r>
        <w:r w:rsidRPr="00454223">
          <w:rPr>
            <w:rStyle w:val="Hyperlink"/>
            <w:noProof/>
          </w:rPr>
          <w:t>Database Tuning</w:t>
        </w:r>
        <w:r>
          <w:rPr>
            <w:noProof/>
            <w:webHidden/>
          </w:rPr>
          <w:tab/>
        </w:r>
        <w:r>
          <w:rPr>
            <w:noProof/>
            <w:webHidden/>
          </w:rPr>
          <w:fldChar w:fldCharType="begin"/>
        </w:r>
        <w:r>
          <w:rPr>
            <w:noProof/>
            <w:webHidden/>
          </w:rPr>
          <w:instrText xml:space="preserve"> PAGEREF _Toc486338248 \h </w:instrText>
        </w:r>
        <w:r>
          <w:rPr>
            <w:noProof/>
            <w:webHidden/>
          </w:rPr>
        </w:r>
        <w:r>
          <w:rPr>
            <w:noProof/>
            <w:webHidden/>
          </w:rPr>
          <w:fldChar w:fldCharType="separate"/>
        </w:r>
        <w:r>
          <w:rPr>
            <w:noProof/>
            <w:webHidden/>
          </w:rPr>
          <w:t>6</w:t>
        </w:r>
        <w:r>
          <w:rPr>
            <w:noProof/>
            <w:webHidden/>
          </w:rPr>
          <w:fldChar w:fldCharType="end"/>
        </w:r>
      </w:hyperlink>
    </w:p>
    <w:p w14:paraId="11E8A558" w14:textId="77777777" w:rsidR="00711867" w:rsidRDefault="00711867">
      <w:pPr>
        <w:pStyle w:val="TOC1"/>
        <w:rPr>
          <w:rFonts w:asciiTheme="minorHAnsi" w:eastAsiaTheme="minorEastAsia" w:hAnsiTheme="minorHAnsi" w:cstheme="minorBidi"/>
          <w:b w:val="0"/>
          <w:noProof/>
          <w:sz w:val="22"/>
          <w:szCs w:val="22"/>
        </w:rPr>
      </w:pPr>
      <w:hyperlink w:anchor="_Toc486338249" w:history="1">
        <w:r w:rsidRPr="00454223">
          <w:rPr>
            <w:rStyle w:val="Hyperlink"/>
            <w:noProof/>
          </w:rPr>
          <w:t>5</w:t>
        </w:r>
        <w:r>
          <w:rPr>
            <w:rFonts w:asciiTheme="minorHAnsi" w:eastAsiaTheme="minorEastAsia" w:hAnsiTheme="minorHAnsi" w:cstheme="minorBidi"/>
            <w:b w:val="0"/>
            <w:noProof/>
            <w:sz w:val="22"/>
            <w:szCs w:val="22"/>
          </w:rPr>
          <w:tab/>
        </w:r>
        <w:r w:rsidRPr="00454223">
          <w:rPr>
            <w:rStyle w:val="Hyperlink"/>
            <w:noProof/>
          </w:rPr>
          <w:t>Back-Out Procedure</w:t>
        </w:r>
        <w:r>
          <w:rPr>
            <w:noProof/>
            <w:webHidden/>
          </w:rPr>
          <w:tab/>
        </w:r>
        <w:r>
          <w:rPr>
            <w:noProof/>
            <w:webHidden/>
          </w:rPr>
          <w:fldChar w:fldCharType="begin"/>
        </w:r>
        <w:r>
          <w:rPr>
            <w:noProof/>
            <w:webHidden/>
          </w:rPr>
          <w:instrText xml:space="preserve"> PAGEREF _Toc486338249 \h </w:instrText>
        </w:r>
        <w:r>
          <w:rPr>
            <w:noProof/>
            <w:webHidden/>
          </w:rPr>
        </w:r>
        <w:r>
          <w:rPr>
            <w:noProof/>
            <w:webHidden/>
          </w:rPr>
          <w:fldChar w:fldCharType="separate"/>
        </w:r>
        <w:r>
          <w:rPr>
            <w:noProof/>
            <w:webHidden/>
          </w:rPr>
          <w:t>6</w:t>
        </w:r>
        <w:r>
          <w:rPr>
            <w:noProof/>
            <w:webHidden/>
          </w:rPr>
          <w:fldChar w:fldCharType="end"/>
        </w:r>
      </w:hyperlink>
    </w:p>
    <w:p w14:paraId="251BE4DB" w14:textId="77777777" w:rsidR="00711867" w:rsidRDefault="00711867">
      <w:pPr>
        <w:pStyle w:val="TOC2"/>
        <w:rPr>
          <w:rFonts w:asciiTheme="minorHAnsi" w:eastAsiaTheme="minorEastAsia" w:hAnsiTheme="minorHAnsi" w:cstheme="minorBidi"/>
          <w:b w:val="0"/>
          <w:noProof/>
          <w:sz w:val="22"/>
          <w:szCs w:val="22"/>
        </w:rPr>
      </w:pPr>
      <w:hyperlink w:anchor="_Toc486338250" w:history="1">
        <w:r w:rsidRPr="00454223">
          <w:rPr>
            <w:rStyle w:val="Hyperlink"/>
            <w:noProof/>
          </w:rPr>
          <w:t>5.1</w:t>
        </w:r>
        <w:r>
          <w:rPr>
            <w:rFonts w:asciiTheme="minorHAnsi" w:eastAsiaTheme="minorEastAsia" w:hAnsiTheme="minorHAnsi" w:cstheme="minorBidi"/>
            <w:b w:val="0"/>
            <w:noProof/>
            <w:sz w:val="22"/>
            <w:szCs w:val="22"/>
          </w:rPr>
          <w:tab/>
        </w:r>
        <w:r w:rsidRPr="00454223">
          <w:rPr>
            <w:rStyle w:val="Hyperlink"/>
            <w:noProof/>
          </w:rPr>
          <w:t>Back-Out Strategy</w:t>
        </w:r>
        <w:r>
          <w:rPr>
            <w:noProof/>
            <w:webHidden/>
          </w:rPr>
          <w:tab/>
        </w:r>
        <w:r>
          <w:rPr>
            <w:noProof/>
            <w:webHidden/>
          </w:rPr>
          <w:fldChar w:fldCharType="begin"/>
        </w:r>
        <w:r>
          <w:rPr>
            <w:noProof/>
            <w:webHidden/>
          </w:rPr>
          <w:instrText xml:space="preserve"> PAGEREF _Toc486338250 \h </w:instrText>
        </w:r>
        <w:r>
          <w:rPr>
            <w:noProof/>
            <w:webHidden/>
          </w:rPr>
        </w:r>
        <w:r>
          <w:rPr>
            <w:noProof/>
            <w:webHidden/>
          </w:rPr>
          <w:fldChar w:fldCharType="separate"/>
        </w:r>
        <w:r>
          <w:rPr>
            <w:noProof/>
            <w:webHidden/>
          </w:rPr>
          <w:t>6</w:t>
        </w:r>
        <w:r>
          <w:rPr>
            <w:noProof/>
            <w:webHidden/>
          </w:rPr>
          <w:fldChar w:fldCharType="end"/>
        </w:r>
      </w:hyperlink>
    </w:p>
    <w:p w14:paraId="3A276EC4" w14:textId="77777777" w:rsidR="00711867" w:rsidRDefault="00711867">
      <w:pPr>
        <w:pStyle w:val="TOC3"/>
        <w:rPr>
          <w:rFonts w:asciiTheme="minorHAnsi" w:eastAsiaTheme="minorEastAsia" w:hAnsiTheme="minorHAnsi" w:cstheme="minorBidi"/>
          <w:b w:val="0"/>
          <w:noProof/>
          <w:sz w:val="22"/>
          <w:szCs w:val="22"/>
        </w:rPr>
      </w:pPr>
      <w:hyperlink w:anchor="_Toc486338251" w:history="1">
        <w:r w:rsidRPr="00454223">
          <w:rPr>
            <w:rStyle w:val="Hyperlink"/>
            <w:noProof/>
          </w:rPr>
          <w:t>5.1.1</w:t>
        </w:r>
        <w:r>
          <w:rPr>
            <w:rFonts w:asciiTheme="minorHAnsi" w:eastAsiaTheme="minorEastAsia" w:hAnsiTheme="minorHAnsi" w:cstheme="minorBidi"/>
            <w:b w:val="0"/>
            <w:noProof/>
            <w:sz w:val="22"/>
            <w:szCs w:val="22"/>
          </w:rPr>
          <w:tab/>
        </w:r>
        <w:r w:rsidRPr="00454223">
          <w:rPr>
            <w:rStyle w:val="Hyperlink"/>
            <w:noProof/>
          </w:rPr>
          <w:t>Mirror Testing or Site Production Testing</w:t>
        </w:r>
        <w:r>
          <w:rPr>
            <w:noProof/>
            <w:webHidden/>
          </w:rPr>
          <w:tab/>
        </w:r>
        <w:r>
          <w:rPr>
            <w:noProof/>
            <w:webHidden/>
          </w:rPr>
          <w:fldChar w:fldCharType="begin"/>
        </w:r>
        <w:r>
          <w:rPr>
            <w:noProof/>
            <w:webHidden/>
          </w:rPr>
          <w:instrText xml:space="preserve"> PAGEREF _Toc486338251 \h </w:instrText>
        </w:r>
        <w:r>
          <w:rPr>
            <w:noProof/>
            <w:webHidden/>
          </w:rPr>
        </w:r>
        <w:r>
          <w:rPr>
            <w:noProof/>
            <w:webHidden/>
          </w:rPr>
          <w:fldChar w:fldCharType="separate"/>
        </w:r>
        <w:r>
          <w:rPr>
            <w:noProof/>
            <w:webHidden/>
          </w:rPr>
          <w:t>7</w:t>
        </w:r>
        <w:r>
          <w:rPr>
            <w:noProof/>
            <w:webHidden/>
          </w:rPr>
          <w:fldChar w:fldCharType="end"/>
        </w:r>
      </w:hyperlink>
    </w:p>
    <w:p w14:paraId="15D11A71" w14:textId="77777777" w:rsidR="00711867" w:rsidRDefault="00711867">
      <w:pPr>
        <w:pStyle w:val="TOC3"/>
        <w:rPr>
          <w:rFonts w:asciiTheme="minorHAnsi" w:eastAsiaTheme="minorEastAsia" w:hAnsiTheme="minorHAnsi" w:cstheme="minorBidi"/>
          <w:b w:val="0"/>
          <w:noProof/>
          <w:sz w:val="22"/>
          <w:szCs w:val="22"/>
        </w:rPr>
      </w:pPr>
      <w:hyperlink w:anchor="_Toc486338252" w:history="1">
        <w:r w:rsidRPr="00454223">
          <w:rPr>
            <w:rStyle w:val="Hyperlink"/>
            <w:noProof/>
          </w:rPr>
          <w:t>5.1.2</w:t>
        </w:r>
        <w:r>
          <w:rPr>
            <w:rFonts w:asciiTheme="minorHAnsi" w:eastAsiaTheme="minorEastAsia" w:hAnsiTheme="minorHAnsi" w:cstheme="minorBidi"/>
            <w:b w:val="0"/>
            <w:noProof/>
            <w:sz w:val="22"/>
            <w:szCs w:val="22"/>
          </w:rPr>
          <w:tab/>
        </w:r>
        <w:r w:rsidRPr="00454223">
          <w:rPr>
            <w:rStyle w:val="Hyperlink"/>
            <w:noProof/>
          </w:rPr>
          <w:t>After National Release but During the Designated Support Period</w:t>
        </w:r>
        <w:r>
          <w:rPr>
            <w:noProof/>
            <w:webHidden/>
          </w:rPr>
          <w:tab/>
        </w:r>
        <w:r>
          <w:rPr>
            <w:noProof/>
            <w:webHidden/>
          </w:rPr>
          <w:fldChar w:fldCharType="begin"/>
        </w:r>
        <w:r>
          <w:rPr>
            <w:noProof/>
            <w:webHidden/>
          </w:rPr>
          <w:instrText xml:space="preserve"> PAGEREF _Toc486338252 \h </w:instrText>
        </w:r>
        <w:r>
          <w:rPr>
            <w:noProof/>
            <w:webHidden/>
          </w:rPr>
        </w:r>
        <w:r>
          <w:rPr>
            <w:noProof/>
            <w:webHidden/>
          </w:rPr>
          <w:fldChar w:fldCharType="separate"/>
        </w:r>
        <w:r>
          <w:rPr>
            <w:noProof/>
            <w:webHidden/>
          </w:rPr>
          <w:t>7</w:t>
        </w:r>
        <w:r>
          <w:rPr>
            <w:noProof/>
            <w:webHidden/>
          </w:rPr>
          <w:fldChar w:fldCharType="end"/>
        </w:r>
      </w:hyperlink>
    </w:p>
    <w:p w14:paraId="11F00E3C" w14:textId="77777777" w:rsidR="00711867" w:rsidRDefault="00711867">
      <w:pPr>
        <w:pStyle w:val="TOC3"/>
        <w:rPr>
          <w:rFonts w:asciiTheme="minorHAnsi" w:eastAsiaTheme="minorEastAsia" w:hAnsiTheme="minorHAnsi" w:cstheme="minorBidi"/>
          <w:b w:val="0"/>
          <w:noProof/>
          <w:sz w:val="22"/>
          <w:szCs w:val="22"/>
        </w:rPr>
      </w:pPr>
      <w:hyperlink w:anchor="_Toc486338253" w:history="1">
        <w:r w:rsidRPr="00454223">
          <w:rPr>
            <w:rStyle w:val="Hyperlink"/>
            <w:noProof/>
          </w:rPr>
          <w:t>5.1.3</w:t>
        </w:r>
        <w:r>
          <w:rPr>
            <w:rFonts w:asciiTheme="minorHAnsi" w:eastAsiaTheme="minorEastAsia" w:hAnsiTheme="minorHAnsi" w:cstheme="minorBidi"/>
            <w:b w:val="0"/>
            <w:noProof/>
            <w:sz w:val="22"/>
            <w:szCs w:val="22"/>
          </w:rPr>
          <w:tab/>
        </w:r>
        <w:r w:rsidRPr="00454223">
          <w:rPr>
            <w:rStyle w:val="Hyperlink"/>
            <w:noProof/>
          </w:rPr>
          <w:t>After National Release and Warranty Period</w:t>
        </w:r>
        <w:r>
          <w:rPr>
            <w:noProof/>
            <w:webHidden/>
          </w:rPr>
          <w:tab/>
        </w:r>
        <w:r>
          <w:rPr>
            <w:noProof/>
            <w:webHidden/>
          </w:rPr>
          <w:fldChar w:fldCharType="begin"/>
        </w:r>
        <w:r>
          <w:rPr>
            <w:noProof/>
            <w:webHidden/>
          </w:rPr>
          <w:instrText xml:space="preserve"> PAGEREF _Toc486338253 \h </w:instrText>
        </w:r>
        <w:r>
          <w:rPr>
            <w:noProof/>
            <w:webHidden/>
          </w:rPr>
        </w:r>
        <w:r>
          <w:rPr>
            <w:noProof/>
            <w:webHidden/>
          </w:rPr>
          <w:fldChar w:fldCharType="separate"/>
        </w:r>
        <w:r>
          <w:rPr>
            <w:noProof/>
            <w:webHidden/>
          </w:rPr>
          <w:t>7</w:t>
        </w:r>
        <w:r>
          <w:rPr>
            <w:noProof/>
            <w:webHidden/>
          </w:rPr>
          <w:fldChar w:fldCharType="end"/>
        </w:r>
      </w:hyperlink>
    </w:p>
    <w:p w14:paraId="415EDB94" w14:textId="77777777" w:rsidR="00711867" w:rsidRDefault="00711867">
      <w:pPr>
        <w:pStyle w:val="TOC2"/>
        <w:rPr>
          <w:rFonts w:asciiTheme="minorHAnsi" w:eastAsiaTheme="minorEastAsia" w:hAnsiTheme="minorHAnsi" w:cstheme="minorBidi"/>
          <w:b w:val="0"/>
          <w:noProof/>
          <w:sz w:val="22"/>
          <w:szCs w:val="22"/>
        </w:rPr>
      </w:pPr>
      <w:hyperlink w:anchor="_Toc486338254" w:history="1">
        <w:r w:rsidRPr="00454223">
          <w:rPr>
            <w:rStyle w:val="Hyperlink"/>
            <w:noProof/>
          </w:rPr>
          <w:t>5.2</w:t>
        </w:r>
        <w:r>
          <w:rPr>
            <w:rFonts w:asciiTheme="minorHAnsi" w:eastAsiaTheme="minorEastAsia" w:hAnsiTheme="minorHAnsi" w:cstheme="minorBidi"/>
            <w:b w:val="0"/>
            <w:noProof/>
            <w:sz w:val="22"/>
            <w:szCs w:val="22"/>
          </w:rPr>
          <w:tab/>
        </w:r>
        <w:r w:rsidRPr="00454223">
          <w:rPr>
            <w:rStyle w:val="Hyperlink"/>
            <w:noProof/>
          </w:rPr>
          <w:t>Back-Out Considerations</w:t>
        </w:r>
        <w:r>
          <w:rPr>
            <w:noProof/>
            <w:webHidden/>
          </w:rPr>
          <w:tab/>
        </w:r>
        <w:r>
          <w:rPr>
            <w:noProof/>
            <w:webHidden/>
          </w:rPr>
          <w:fldChar w:fldCharType="begin"/>
        </w:r>
        <w:r>
          <w:rPr>
            <w:noProof/>
            <w:webHidden/>
          </w:rPr>
          <w:instrText xml:space="preserve"> PAGEREF _Toc486338254 \h </w:instrText>
        </w:r>
        <w:r>
          <w:rPr>
            <w:noProof/>
            <w:webHidden/>
          </w:rPr>
        </w:r>
        <w:r>
          <w:rPr>
            <w:noProof/>
            <w:webHidden/>
          </w:rPr>
          <w:fldChar w:fldCharType="separate"/>
        </w:r>
        <w:r>
          <w:rPr>
            <w:noProof/>
            <w:webHidden/>
          </w:rPr>
          <w:t>7</w:t>
        </w:r>
        <w:r>
          <w:rPr>
            <w:noProof/>
            <w:webHidden/>
          </w:rPr>
          <w:fldChar w:fldCharType="end"/>
        </w:r>
      </w:hyperlink>
    </w:p>
    <w:p w14:paraId="6F1A970D" w14:textId="77777777" w:rsidR="00711867" w:rsidRDefault="00711867">
      <w:pPr>
        <w:pStyle w:val="TOC3"/>
        <w:rPr>
          <w:rFonts w:asciiTheme="minorHAnsi" w:eastAsiaTheme="minorEastAsia" w:hAnsiTheme="minorHAnsi" w:cstheme="minorBidi"/>
          <w:b w:val="0"/>
          <w:noProof/>
          <w:sz w:val="22"/>
          <w:szCs w:val="22"/>
        </w:rPr>
      </w:pPr>
      <w:hyperlink w:anchor="_Toc486338255" w:history="1">
        <w:r w:rsidRPr="00454223">
          <w:rPr>
            <w:rStyle w:val="Hyperlink"/>
            <w:noProof/>
          </w:rPr>
          <w:t>5.2.1</w:t>
        </w:r>
        <w:r>
          <w:rPr>
            <w:rFonts w:asciiTheme="minorHAnsi" w:eastAsiaTheme="minorEastAsia" w:hAnsiTheme="minorHAnsi" w:cstheme="minorBidi"/>
            <w:b w:val="0"/>
            <w:noProof/>
            <w:sz w:val="22"/>
            <w:szCs w:val="22"/>
          </w:rPr>
          <w:tab/>
        </w:r>
        <w:r w:rsidRPr="00454223">
          <w:rPr>
            <w:rStyle w:val="Hyperlink"/>
            <w:noProof/>
          </w:rPr>
          <w:t>Load Testing</w:t>
        </w:r>
        <w:r>
          <w:rPr>
            <w:noProof/>
            <w:webHidden/>
          </w:rPr>
          <w:tab/>
        </w:r>
        <w:r>
          <w:rPr>
            <w:noProof/>
            <w:webHidden/>
          </w:rPr>
          <w:fldChar w:fldCharType="begin"/>
        </w:r>
        <w:r>
          <w:rPr>
            <w:noProof/>
            <w:webHidden/>
          </w:rPr>
          <w:instrText xml:space="preserve"> PAGEREF _Toc486338255 \h </w:instrText>
        </w:r>
        <w:r>
          <w:rPr>
            <w:noProof/>
            <w:webHidden/>
          </w:rPr>
        </w:r>
        <w:r>
          <w:rPr>
            <w:noProof/>
            <w:webHidden/>
          </w:rPr>
          <w:fldChar w:fldCharType="separate"/>
        </w:r>
        <w:r>
          <w:rPr>
            <w:noProof/>
            <w:webHidden/>
          </w:rPr>
          <w:t>7</w:t>
        </w:r>
        <w:r>
          <w:rPr>
            <w:noProof/>
            <w:webHidden/>
          </w:rPr>
          <w:fldChar w:fldCharType="end"/>
        </w:r>
      </w:hyperlink>
    </w:p>
    <w:p w14:paraId="6A21C934" w14:textId="77777777" w:rsidR="00711867" w:rsidRDefault="00711867">
      <w:pPr>
        <w:pStyle w:val="TOC3"/>
        <w:rPr>
          <w:rFonts w:asciiTheme="minorHAnsi" w:eastAsiaTheme="minorEastAsia" w:hAnsiTheme="minorHAnsi" w:cstheme="minorBidi"/>
          <w:b w:val="0"/>
          <w:noProof/>
          <w:sz w:val="22"/>
          <w:szCs w:val="22"/>
        </w:rPr>
      </w:pPr>
      <w:hyperlink w:anchor="_Toc486338256" w:history="1">
        <w:r w:rsidRPr="00454223">
          <w:rPr>
            <w:rStyle w:val="Hyperlink"/>
            <w:noProof/>
          </w:rPr>
          <w:t>5.2.2</w:t>
        </w:r>
        <w:r>
          <w:rPr>
            <w:rFonts w:asciiTheme="minorHAnsi" w:eastAsiaTheme="minorEastAsia" w:hAnsiTheme="minorHAnsi" w:cstheme="minorBidi"/>
            <w:b w:val="0"/>
            <w:noProof/>
            <w:sz w:val="22"/>
            <w:szCs w:val="22"/>
          </w:rPr>
          <w:tab/>
        </w:r>
        <w:r w:rsidRPr="00454223">
          <w:rPr>
            <w:rStyle w:val="Hyperlink"/>
            <w:noProof/>
          </w:rPr>
          <w:t>User Acceptance Testing</w:t>
        </w:r>
        <w:r>
          <w:rPr>
            <w:noProof/>
            <w:webHidden/>
          </w:rPr>
          <w:tab/>
        </w:r>
        <w:r>
          <w:rPr>
            <w:noProof/>
            <w:webHidden/>
          </w:rPr>
          <w:fldChar w:fldCharType="begin"/>
        </w:r>
        <w:r>
          <w:rPr>
            <w:noProof/>
            <w:webHidden/>
          </w:rPr>
          <w:instrText xml:space="preserve"> PAGEREF _Toc486338256 \h </w:instrText>
        </w:r>
        <w:r>
          <w:rPr>
            <w:noProof/>
            <w:webHidden/>
          </w:rPr>
        </w:r>
        <w:r>
          <w:rPr>
            <w:noProof/>
            <w:webHidden/>
          </w:rPr>
          <w:fldChar w:fldCharType="separate"/>
        </w:r>
        <w:r>
          <w:rPr>
            <w:noProof/>
            <w:webHidden/>
          </w:rPr>
          <w:t>7</w:t>
        </w:r>
        <w:r>
          <w:rPr>
            <w:noProof/>
            <w:webHidden/>
          </w:rPr>
          <w:fldChar w:fldCharType="end"/>
        </w:r>
      </w:hyperlink>
    </w:p>
    <w:p w14:paraId="2D30B6EB" w14:textId="77777777" w:rsidR="00711867" w:rsidRDefault="00711867">
      <w:pPr>
        <w:pStyle w:val="TOC2"/>
        <w:rPr>
          <w:rFonts w:asciiTheme="minorHAnsi" w:eastAsiaTheme="minorEastAsia" w:hAnsiTheme="minorHAnsi" w:cstheme="minorBidi"/>
          <w:b w:val="0"/>
          <w:noProof/>
          <w:sz w:val="22"/>
          <w:szCs w:val="22"/>
        </w:rPr>
      </w:pPr>
      <w:hyperlink w:anchor="_Toc486338257" w:history="1">
        <w:r w:rsidRPr="00454223">
          <w:rPr>
            <w:rStyle w:val="Hyperlink"/>
            <w:noProof/>
          </w:rPr>
          <w:t>Back-Out Criteria</w:t>
        </w:r>
        <w:r>
          <w:rPr>
            <w:noProof/>
            <w:webHidden/>
          </w:rPr>
          <w:tab/>
        </w:r>
        <w:r>
          <w:rPr>
            <w:noProof/>
            <w:webHidden/>
          </w:rPr>
          <w:fldChar w:fldCharType="begin"/>
        </w:r>
        <w:r>
          <w:rPr>
            <w:noProof/>
            <w:webHidden/>
          </w:rPr>
          <w:instrText xml:space="preserve"> PAGEREF _Toc486338257 \h </w:instrText>
        </w:r>
        <w:r>
          <w:rPr>
            <w:noProof/>
            <w:webHidden/>
          </w:rPr>
        </w:r>
        <w:r>
          <w:rPr>
            <w:noProof/>
            <w:webHidden/>
          </w:rPr>
          <w:fldChar w:fldCharType="separate"/>
        </w:r>
        <w:r>
          <w:rPr>
            <w:noProof/>
            <w:webHidden/>
          </w:rPr>
          <w:t>9</w:t>
        </w:r>
        <w:r>
          <w:rPr>
            <w:noProof/>
            <w:webHidden/>
          </w:rPr>
          <w:fldChar w:fldCharType="end"/>
        </w:r>
      </w:hyperlink>
    </w:p>
    <w:p w14:paraId="40E625D8" w14:textId="77777777" w:rsidR="00711867" w:rsidRDefault="00711867">
      <w:pPr>
        <w:pStyle w:val="TOC2"/>
        <w:rPr>
          <w:rFonts w:asciiTheme="minorHAnsi" w:eastAsiaTheme="minorEastAsia" w:hAnsiTheme="minorHAnsi" w:cstheme="minorBidi"/>
          <w:b w:val="0"/>
          <w:noProof/>
          <w:sz w:val="22"/>
          <w:szCs w:val="22"/>
        </w:rPr>
      </w:pPr>
      <w:hyperlink w:anchor="_Toc486338258" w:history="1">
        <w:r w:rsidRPr="00454223">
          <w:rPr>
            <w:rStyle w:val="Hyperlink"/>
            <w:noProof/>
          </w:rPr>
          <w:t>5.3</w:t>
        </w:r>
        <w:r>
          <w:rPr>
            <w:rFonts w:asciiTheme="minorHAnsi" w:eastAsiaTheme="minorEastAsia" w:hAnsiTheme="minorHAnsi" w:cstheme="minorBidi"/>
            <w:b w:val="0"/>
            <w:noProof/>
            <w:sz w:val="22"/>
            <w:szCs w:val="22"/>
          </w:rPr>
          <w:tab/>
        </w:r>
        <w:r w:rsidRPr="00454223">
          <w:rPr>
            <w:rStyle w:val="Hyperlink"/>
            <w:noProof/>
          </w:rPr>
          <w:t>Back-Out Risks</w:t>
        </w:r>
        <w:r>
          <w:rPr>
            <w:noProof/>
            <w:webHidden/>
          </w:rPr>
          <w:tab/>
        </w:r>
        <w:r>
          <w:rPr>
            <w:noProof/>
            <w:webHidden/>
          </w:rPr>
          <w:fldChar w:fldCharType="begin"/>
        </w:r>
        <w:r>
          <w:rPr>
            <w:noProof/>
            <w:webHidden/>
          </w:rPr>
          <w:instrText xml:space="preserve"> PAGEREF _Toc486338258 \h </w:instrText>
        </w:r>
        <w:r>
          <w:rPr>
            <w:noProof/>
            <w:webHidden/>
          </w:rPr>
        </w:r>
        <w:r>
          <w:rPr>
            <w:noProof/>
            <w:webHidden/>
          </w:rPr>
          <w:fldChar w:fldCharType="separate"/>
        </w:r>
        <w:r>
          <w:rPr>
            <w:noProof/>
            <w:webHidden/>
          </w:rPr>
          <w:t>9</w:t>
        </w:r>
        <w:r>
          <w:rPr>
            <w:noProof/>
            <w:webHidden/>
          </w:rPr>
          <w:fldChar w:fldCharType="end"/>
        </w:r>
      </w:hyperlink>
    </w:p>
    <w:p w14:paraId="5846AC74" w14:textId="77777777" w:rsidR="00711867" w:rsidRDefault="00711867">
      <w:pPr>
        <w:pStyle w:val="TOC2"/>
        <w:rPr>
          <w:rFonts w:asciiTheme="minorHAnsi" w:eastAsiaTheme="minorEastAsia" w:hAnsiTheme="minorHAnsi" w:cstheme="minorBidi"/>
          <w:b w:val="0"/>
          <w:noProof/>
          <w:sz w:val="22"/>
          <w:szCs w:val="22"/>
        </w:rPr>
      </w:pPr>
      <w:hyperlink w:anchor="_Toc486338259" w:history="1">
        <w:r w:rsidRPr="00454223">
          <w:rPr>
            <w:rStyle w:val="Hyperlink"/>
            <w:noProof/>
          </w:rPr>
          <w:t>5.4</w:t>
        </w:r>
        <w:r>
          <w:rPr>
            <w:rFonts w:asciiTheme="minorHAnsi" w:eastAsiaTheme="minorEastAsia" w:hAnsiTheme="minorHAnsi" w:cstheme="minorBidi"/>
            <w:b w:val="0"/>
            <w:noProof/>
            <w:sz w:val="22"/>
            <w:szCs w:val="22"/>
          </w:rPr>
          <w:tab/>
        </w:r>
        <w:r w:rsidRPr="00454223">
          <w:rPr>
            <w:rStyle w:val="Hyperlink"/>
            <w:noProof/>
          </w:rPr>
          <w:t>Authority for Back-Out</w:t>
        </w:r>
        <w:r>
          <w:rPr>
            <w:noProof/>
            <w:webHidden/>
          </w:rPr>
          <w:tab/>
        </w:r>
        <w:r>
          <w:rPr>
            <w:noProof/>
            <w:webHidden/>
          </w:rPr>
          <w:fldChar w:fldCharType="begin"/>
        </w:r>
        <w:r>
          <w:rPr>
            <w:noProof/>
            <w:webHidden/>
          </w:rPr>
          <w:instrText xml:space="preserve"> PAGEREF _Toc486338259 \h </w:instrText>
        </w:r>
        <w:r>
          <w:rPr>
            <w:noProof/>
            <w:webHidden/>
          </w:rPr>
        </w:r>
        <w:r>
          <w:rPr>
            <w:noProof/>
            <w:webHidden/>
          </w:rPr>
          <w:fldChar w:fldCharType="separate"/>
        </w:r>
        <w:r>
          <w:rPr>
            <w:noProof/>
            <w:webHidden/>
          </w:rPr>
          <w:t>9</w:t>
        </w:r>
        <w:r>
          <w:rPr>
            <w:noProof/>
            <w:webHidden/>
          </w:rPr>
          <w:fldChar w:fldCharType="end"/>
        </w:r>
      </w:hyperlink>
    </w:p>
    <w:p w14:paraId="2A52C7F1" w14:textId="77777777" w:rsidR="00711867" w:rsidRDefault="00711867">
      <w:pPr>
        <w:pStyle w:val="TOC2"/>
        <w:rPr>
          <w:rFonts w:asciiTheme="minorHAnsi" w:eastAsiaTheme="minorEastAsia" w:hAnsiTheme="minorHAnsi" w:cstheme="minorBidi"/>
          <w:b w:val="0"/>
          <w:noProof/>
          <w:sz w:val="22"/>
          <w:szCs w:val="22"/>
        </w:rPr>
      </w:pPr>
      <w:hyperlink w:anchor="_Toc486338260" w:history="1">
        <w:r w:rsidRPr="00454223">
          <w:rPr>
            <w:rStyle w:val="Hyperlink"/>
            <w:noProof/>
          </w:rPr>
          <w:t>5.5</w:t>
        </w:r>
        <w:r>
          <w:rPr>
            <w:rFonts w:asciiTheme="minorHAnsi" w:eastAsiaTheme="minorEastAsia" w:hAnsiTheme="minorHAnsi" w:cstheme="minorBidi"/>
            <w:b w:val="0"/>
            <w:noProof/>
            <w:sz w:val="22"/>
            <w:szCs w:val="22"/>
          </w:rPr>
          <w:tab/>
        </w:r>
        <w:r w:rsidRPr="00454223">
          <w:rPr>
            <w:rStyle w:val="Hyperlink"/>
            <w:noProof/>
          </w:rPr>
          <w:t>Back-Out Procedure</w:t>
        </w:r>
        <w:r>
          <w:rPr>
            <w:noProof/>
            <w:webHidden/>
          </w:rPr>
          <w:tab/>
        </w:r>
        <w:r>
          <w:rPr>
            <w:noProof/>
            <w:webHidden/>
          </w:rPr>
          <w:fldChar w:fldCharType="begin"/>
        </w:r>
        <w:r>
          <w:rPr>
            <w:noProof/>
            <w:webHidden/>
          </w:rPr>
          <w:instrText xml:space="preserve"> PAGEREF _Toc486338260 \h </w:instrText>
        </w:r>
        <w:r>
          <w:rPr>
            <w:noProof/>
            <w:webHidden/>
          </w:rPr>
        </w:r>
        <w:r>
          <w:rPr>
            <w:noProof/>
            <w:webHidden/>
          </w:rPr>
          <w:fldChar w:fldCharType="separate"/>
        </w:r>
        <w:r>
          <w:rPr>
            <w:noProof/>
            <w:webHidden/>
          </w:rPr>
          <w:t>9</w:t>
        </w:r>
        <w:r>
          <w:rPr>
            <w:noProof/>
            <w:webHidden/>
          </w:rPr>
          <w:fldChar w:fldCharType="end"/>
        </w:r>
      </w:hyperlink>
    </w:p>
    <w:p w14:paraId="44CD2E4F" w14:textId="77777777" w:rsidR="00711867" w:rsidRDefault="00711867">
      <w:pPr>
        <w:pStyle w:val="TOC2"/>
        <w:rPr>
          <w:rFonts w:asciiTheme="minorHAnsi" w:eastAsiaTheme="minorEastAsia" w:hAnsiTheme="minorHAnsi" w:cstheme="minorBidi"/>
          <w:b w:val="0"/>
          <w:noProof/>
          <w:sz w:val="22"/>
          <w:szCs w:val="22"/>
        </w:rPr>
      </w:pPr>
      <w:hyperlink w:anchor="_Toc486338261" w:history="1">
        <w:r w:rsidRPr="00454223">
          <w:rPr>
            <w:rStyle w:val="Hyperlink"/>
            <w:noProof/>
          </w:rPr>
          <w:t>5.6</w:t>
        </w:r>
        <w:r>
          <w:rPr>
            <w:rFonts w:asciiTheme="minorHAnsi" w:eastAsiaTheme="minorEastAsia" w:hAnsiTheme="minorHAnsi" w:cstheme="minorBidi"/>
            <w:b w:val="0"/>
            <w:noProof/>
            <w:sz w:val="22"/>
            <w:szCs w:val="22"/>
          </w:rPr>
          <w:tab/>
        </w:r>
        <w:r w:rsidRPr="00454223">
          <w:rPr>
            <w:rStyle w:val="Hyperlink"/>
            <w:noProof/>
          </w:rPr>
          <w:t>Back-out Verification Procedure</w:t>
        </w:r>
        <w:r>
          <w:rPr>
            <w:noProof/>
            <w:webHidden/>
          </w:rPr>
          <w:tab/>
        </w:r>
        <w:r>
          <w:rPr>
            <w:noProof/>
            <w:webHidden/>
          </w:rPr>
          <w:fldChar w:fldCharType="begin"/>
        </w:r>
        <w:r>
          <w:rPr>
            <w:noProof/>
            <w:webHidden/>
          </w:rPr>
          <w:instrText xml:space="preserve"> PAGEREF _Toc486338261 \h </w:instrText>
        </w:r>
        <w:r>
          <w:rPr>
            <w:noProof/>
            <w:webHidden/>
          </w:rPr>
        </w:r>
        <w:r>
          <w:rPr>
            <w:noProof/>
            <w:webHidden/>
          </w:rPr>
          <w:fldChar w:fldCharType="separate"/>
        </w:r>
        <w:r>
          <w:rPr>
            <w:noProof/>
            <w:webHidden/>
          </w:rPr>
          <w:t>10</w:t>
        </w:r>
        <w:r>
          <w:rPr>
            <w:noProof/>
            <w:webHidden/>
          </w:rPr>
          <w:fldChar w:fldCharType="end"/>
        </w:r>
      </w:hyperlink>
    </w:p>
    <w:p w14:paraId="0E766AAA" w14:textId="77777777" w:rsidR="00711867" w:rsidRDefault="00711867">
      <w:pPr>
        <w:pStyle w:val="TOC1"/>
        <w:rPr>
          <w:rFonts w:asciiTheme="minorHAnsi" w:eastAsiaTheme="minorEastAsia" w:hAnsiTheme="minorHAnsi" w:cstheme="minorBidi"/>
          <w:b w:val="0"/>
          <w:noProof/>
          <w:sz w:val="22"/>
          <w:szCs w:val="22"/>
        </w:rPr>
      </w:pPr>
      <w:hyperlink w:anchor="_Toc486338262" w:history="1">
        <w:r w:rsidRPr="00454223">
          <w:rPr>
            <w:rStyle w:val="Hyperlink"/>
            <w:noProof/>
          </w:rPr>
          <w:t>6</w:t>
        </w:r>
        <w:r>
          <w:rPr>
            <w:rFonts w:asciiTheme="minorHAnsi" w:eastAsiaTheme="minorEastAsia" w:hAnsiTheme="minorHAnsi" w:cstheme="minorBidi"/>
            <w:b w:val="0"/>
            <w:noProof/>
            <w:sz w:val="22"/>
            <w:szCs w:val="22"/>
          </w:rPr>
          <w:tab/>
        </w:r>
        <w:r w:rsidRPr="00454223">
          <w:rPr>
            <w:rStyle w:val="Hyperlink"/>
            <w:noProof/>
          </w:rPr>
          <w:t>Rollback Procedure</w:t>
        </w:r>
        <w:r>
          <w:rPr>
            <w:noProof/>
            <w:webHidden/>
          </w:rPr>
          <w:tab/>
        </w:r>
        <w:r>
          <w:rPr>
            <w:noProof/>
            <w:webHidden/>
          </w:rPr>
          <w:fldChar w:fldCharType="begin"/>
        </w:r>
        <w:r>
          <w:rPr>
            <w:noProof/>
            <w:webHidden/>
          </w:rPr>
          <w:instrText xml:space="preserve"> PAGEREF _Toc486338262 \h </w:instrText>
        </w:r>
        <w:r>
          <w:rPr>
            <w:noProof/>
            <w:webHidden/>
          </w:rPr>
        </w:r>
        <w:r>
          <w:rPr>
            <w:noProof/>
            <w:webHidden/>
          </w:rPr>
          <w:fldChar w:fldCharType="separate"/>
        </w:r>
        <w:r>
          <w:rPr>
            <w:noProof/>
            <w:webHidden/>
          </w:rPr>
          <w:t>10</w:t>
        </w:r>
        <w:r>
          <w:rPr>
            <w:noProof/>
            <w:webHidden/>
          </w:rPr>
          <w:fldChar w:fldCharType="end"/>
        </w:r>
      </w:hyperlink>
    </w:p>
    <w:p w14:paraId="6FE6A6B0" w14:textId="77777777" w:rsidR="00711867" w:rsidRDefault="00711867">
      <w:pPr>
        <w:pStyle w:val="TOC2"/>
        <w:rPr>
          <w:rFonts w:asciiTheme="minorHAnsi" w:eastAsiaTheme="minorEastAsia" w:hAnsiTheme="minorHAnsi" w:cstheme="minorBidi"/>
          <w:b w:val="0"/>
          <w:noProof/>
          <w:sz w:val="22"/>
          <w:szCs w:val="22"/>
        </w:rPr>
      </w:pPr>
      <w:hyperlink w:anchor="_Toc486338263" w:history="1">
        <w:r w:rsidRPr="00454223">
          <w:rPr>
            <w:rStyle w:val="Hyperlink"/>
            <w:noProof/>
          </w:rPr>
          <w:t>6.1</w:t>
        </w:r>
        <w:r>
          <w:rPr>
            <w:rFonts w:asciiTheme="minorHAnsi" w:eastAsiaTheme="minorEastAsia" w:hAnsiTheme="minorHAnsi" w:cstheme="minorBidi"/>
            <w:b w:val="0"/>
            <w:noProof/>
            <w:sz w:val="22"/>
            <w:szCs w:val="22"/>
          </w:rPr>
          <w:tab/>
        </w:r>
        <w:r w:rsidRPr="00454223">
          <w:rPr>
            <w:rStyle w:val="Hyperlink"/>
            <w:noProof/>
          </w:rPr>
          <w:t>Rollback Considerations</w:t>
        </w:r>
        <w:r>
          <w:rPr>
            <w:noProof/>
            <w:webHidden/>
          </w:rPr>
          <w:tab/>
        </w:r>
        <w:r>
          <w:rPr>
            <w:noProof/>
            <w:webHidden/>
          </w:rPr>
          <w:fldChar w:fldCharType="begin"/>
        </w:r>
        <w:r>
          <w:rPr>
            <w:noProof/>
            <w:webHidden/>
          </w:rPr>
          <w:instrText xml:space="preserve"> PAGEREF _Toc486338263 \h </w:instrText>
        </w:r>
        <w:r>
          <w:rPr>
            <w:noProof/>
            <w:webHidden/>
          </w:rPr>
        </w:r>
        <w:r>
          <w:rPr>
            <w:noProof/>
            <w:webHidden/>
          </w:rPr>
          <w:fldChar w:fldCharType="separate"/>
        </w:r>
        <w:r>
          <w:rPr>
            <w:noProof/>
            <w:webHidden/>
          </w:rPr>
          <w:t>10</w:t>
        </w:r>
        <w:r>
          <w:rPr>
            <w:noProof/>
            <w:webHidden/>
          </w:rPr>
          <w:fldChar w:fldCharType="end"/>
        </w:r>
      </w:hyperlink>
    </w:p>
    <w:p w14:paraId="7E95B135" w14:textId="77777777" w:rsidR="00711867" w:rsidRDefault="00711867">
      <w:pPr>
        <w:pStyle w:val="TOC2"/>
        <w:rPr>
          <w:rFonts w:asciiTheme="minorHAnsi" w:eastAsiaTheme="minorEastAsia" w:hAnsiTheme="minorHAnsi" w:cstheme="minorBidi"/>
          <w:b w:val="0"/>
          <w:noProof/>
          <w:sz w:val="22"/>
          <w:szCs w:val="22"/>
        </w:rPr>
      </w:pPr>
      <w:hyperlink w:anchor="_Toc486338264" w:history="1">
        <w:r w:rsidRPr="00454223">
          <w:rPr>
            <w:rStyle w:val="Hyperlink"/>
            <w:noProof/>
          </w:rPr>
          <w:t>6.2</w:t>
        </w:r>
        <w:r>
          <w:rPr>
            <w:rFonts w:asciiTheme="minorHAnsi" w:eastAsiaTheme="minorEastAsia" w:hAnsiTheme="minorHAnsi" w:cstheme="minorBidi"/>
            <w:b w:val="0"/>
            <w:noProof/>
            <w:sz w:val="22"/>
            <w:szCs w:val="22"/>
          </w:rPr>
          <w:tab/>
        </w:r>
        <w:r w:rsidRPr="00454223">
          <w:rPr>
            <w:rStyle w:val="Hyperlink"/>
            <w:noProof/>
          </w:rPr>
          <w:t>Rollback Criteria</w:t>
        </w:r>
        <w:r>
          <w:rPr>
            <w:noProof/>
            <w:webHidden/>
          </w:rPr>
          <w:tab/>
        </w:r>
        <w:r>
          <w:rPr>
            <w:noProof/>
            <w:webHidden/>
          </w:rPr>
          <w:fldChar w:fldCharType="begin"/>
        </w:r>
        <w:r>
          <w:rPr>
            <w:noProof/>
            <w:webHidden/>
          </w:rPr>
          <w:instrText xml:space="preserve"> PAGEREF _Toc486338264 \h </w:instrText>
        </w:r>
        <w:r>
          <w:rPr>
            <w:noProof/>
            <w:webHidden/>
          </w:rPr>
        </w:r>
        <w:r>
          <w:rPr>
            <w:noProof/>
            <w:webHidden/>
          </w:rPr>
          <w:fldChar w:fldCharType="separate"/>
        </w:r>
        <w:r>
          <w:rPr>
            <w:noProof/>
            <w:webHidden/>
          </w:rPr>
          <w:t>10</w:t>
        </w:r>
        <w:r>
          <w:rPr>
            <w:noProof/>
            <w:webHidden/>
          </w:rPr>
          <w:fldChar w:fldCharType="end"/>
        </w:r>
      </w:hyperlink>
    </w:p>
    <w:p w14:paraId="4FBC4772" w14:textId="77777777" w:rsidR="00711867" w:rsidRDefault="00711867">
      <w:pPr>
        <w:pStyle w:val="TOC2"/>
        <w:rPr>
          <w:rFonts w:asciiTheme="minorHAnsi" w:eastAsiaTheme="minorEastAsia" w:hAnsiTheme="minorHAnsi" w:cstheme="minorBidi"/>
          <w:b w:val="0"/>
          <w:noProof/>
          <w:sz w:val="22"/>
          <w:szCs w:val="22"/>
        </w:rPr>
      </w:pPr>
      <w:hyperlink w:anchor="_Toc486338265" w:history="1">
        <w:r w:rsidRPr="00454223">
          <w:rPr>
            <w:rStyle w:val="Hyperlink"/>
            <w:noProof/>
          </w:rPr>
          <w:t>6.3</w:t>
        </w:r>
        <w:r>
          <w:rPr>
            <w:rFonts w:asciiTheme="minorHAnsi" w:eastAsiaTheme="minorEastAsia" w:hAnsiTheme="minorHAnsi" w:cstheme="minorBidi"/>
            <w:b w:val="0"/>
            <w:noProof/>
            <w:sz w:val="22"/>
            <w:szCs w:val="22"/>
          </w:rPr>
          <w:tab/>
        </w:r>
        <w:r w:rsidRPr="00454223">
          <w:rPr>
            <w:rStyle w:val="Hyperlink"/>
            <w:noProof/>
          </w:rPr>
          <w:t>Rollback Risks</w:t>
        </w:r>
        <w:r>
          <w:rPr>
            <w:noProof/>
            <w:webHidden/>
          </w:rPr>
          <w:tab/>
        </w:r>
        <w:r>
          <w:rPr>
            <w:noProof/>
            <w:webHidden/>
          </w:rPr>
          <w:fldChar w:fldCharType="begin"/>
        </w:r>
        <w:r>
          <w:rPr>
            <w:noProof/>
            <w:webHidden/>
          </w:rPr>
          <w:instrText xml:space="preserve"> PAGEREF _Toc486338265 \h </w:instrText>
        </w:r>
        <w:r>
          <w:rPr>
            <w:noProof/>
            <w:webHidden/>
          </w:rPr>
        </w:r>
        <w:r>
          <w:rPr>
            <w:noProof/>
            <w:webHidden/>
          </w:rPr>
          <w:fldChar w:fldCharType="separate"/>
        </w:r>
        <w:r>
          <w:rPr>
            <w:noProof/>
            <w:webHidden/>
          </w:rPr>
          <w:t>10</w:t>
        </w:r>
        <w:r>
          <w:rPr>
            <w:noProof/>
            <w:webHidden/>
          </w:rPr>
          <w:fldChar w:fldCharType="end"/>
        </w:r>
      </w:hyperlink>
    </w:p>
    <w:p w14:paraId="050DD0BC" w14:textId="77777777" w:rsidR="00711867" w:rsidRDefault="00711867">
      <w:pPr>
        <w:pStyle w:val="TOC2"/>
        <w:rPr>
          <w:rFonts w:asciiTheme="minorHAnsi" w:eastAsiaTheme="minorEastAsia" w:hAnsiTheme="minorHAnsi" w:cstheme="minorBidi"/>
          <w:b w:val="0"/>
          <w:noProof/>
          <w:sz w:val="22"/>
          <w:szCs w:val="22"/>
        </w:rPr>
      </w:pPr>
      <w:hyperlink w:anchor="_Toc486338266" w:history="1">
        <w:r w:rsidRPr="00454223">
          <w:rPr>
            <w:rStyle w:val="Hyperlink"/>
            <w:noProof/>
          </w:rPr>
          <w:t>6.4</w:t>
        </w:r>
        <w:r>
          <w:rPr>
            <w:rFonts w:asciiTheme="minorHAnsi" w:eastAsiaTheme="minorEastAsia" w:hAnsiTheme="minorHAnsi" w:cstheme="minorBidi"/>
            <w:b w:val="0"/>
            <w:noProof/>
            <w:sz w:val="22"/>
            <w:szCs w:val="22"/>
          </w:rPr>
          <w:tab/>
        </w:r>
        <w:r w:rsidRPr="00454223">
          <w:rPr>
            <w:rStyle w:val="Hyperlink"/>
            <w:noProof/>
          </w:rPr>
          <w:t>Authority for Rollback</w:t>
        </w:r>
        <w:r>
          <w:rPr>
            <w:noProof/>
            <w:webHidden/>
          </w:rPr>
          <w:tab/>
        </w:r>
        <w:r>
          <w:rPr>
            <w:noProof/>
            <w:webHidden/>
          </w:rPr>
          <w:fldChar w:fldCharType="begin"/>
        </w:r>
        <w:r>
          <w:rPr>
            <w:noProof/>
            <w:webHidden/>
          </w:rPr>
          <w:instrText xml:space="preserve"> PAGEREF _Toc486338266 \h </w:instrText>
        </w:r>
        <w:r>
          <w:rPr>
            <w:noProof/>
            <w:webHidden/>
          </w:rPr>
        </w:r>
        <w:r>
          <w:rPr>
            <w:noProof/>
            <w:webHidden/>
          </w:rPr>
          <w:fldChar w:fldCharType="separate"/>
        </w:r>
        <w:r>
          <w:rPr>
            <w:noProof/>
            <w:webHidden/>
          </w:rPr>
          <w:t>10</w:t>
        </w:r>
        <w:r>
          <w:rPr>
            <w:noProof/>
            <w:webHidden/>
          </w:rPr>
          <w:fldChar w:fldCharType="end"/>
        </w:r>
      </w:hyperlink>
    </w:p>
    <w:p w14:paraId="7E0D7A7C" w14:textId="77777777" w:rsidR="00711867" w:rsidRDefault="00711867">
      <w:pPr>
        <w:pStyle w:val="TOC2"/>
        <w:rPr>
          <w:rFonts w:asciiTheme="minorHAnsi" w:eastAsiaTheme="minorEastAsia" w:hAnsiTheme="minorHAnsi" w:cstheme="minorBidi"/>
          <w:b w:val="0"/>
          <w:noProof/>
          <w:sz w:val="22"/>
          <w:szCs w:val="22"/>
        </w:rPr>
      </w:pPr>
      <w:hyperlink w:anchor="_Toc486338267" w:history="1">
        <w:r w:rsidRPr="00454223">
          <w:rPr>
            <w:rStyle w:val="Hyperlink"/>
            <w:noProof/>
          </w:rPr>
          <w:t>6.5</w:t>
        </w:r>
        <w:r>
          <w:rPr>
            <w:rFonts w:asciiTheme="minorHAnsi" w:eastAsiaTheme="minorEastAsia" w:hAnsiTheme="minorHAnsi" w:cstheme="minorBidi"/>
            <w:b w:val="0"/>
            <w:noProof/>
            <w:sz w:val="22"/>
            <w:szCs w:val="22"/>
          </w:rPr>
          <w:tab/>
        </w:r>
        <w:r w:rsidRPr="00454223">
          <w:rPr>
            <w:rStyle w:val="Hyperlink"/>
            <w:noProof/>
          </w:rPr>
          <w:t>Rollback Procedure</w:t>
        </w:r>
        <w:r>
          <w:rPr>
            <w:noProof/>
            <w:webHidden/>
          </w:rPr>
          <w:tab/>
        </w:r>
        <w:r>
          <w:rPr>
            <w:noProof/>
            <w:webHidden/>
          </w:rPr>
          <w:fldChar w:fldCharType="begin"/>
        </w:r>
        <w:r>
          <w:rPr>
            <w:noProof/>
            <w:webHidden/>
          </w:rPr>
          <w:instrText xml:space="preserve"> PAGEREF _Toc486338267 \h </w:instrText>
        </w:r>
        <w:r>
          <w:rPr>
            <w:noProof/>
            <w:webHidden/>
          </w:rPr>
        </w:r>
        <w:r>
          <w:rPr>
            <w:noProof/>
            <w:webHidden/>
          </w:rPr>
          <w:fldChar w:fldCharType="separate"/>
        </w:r>
        <w:r>
          <w:rPr>
            <w:noProof/>
            <w:webHidden/>
          </w:rPr>
          <w:t>10</w:t>
        </w:r>
        <w:r>
          <w:rPr>
            <w:noProof/>
            <w:webHidden/>
          </w:rPr>
          <w:fldChar w:fldCharType="end"/>
        </w:r>
      </w:hyperlink>
    </w:p>
    <w:p w14:paraId="6620DE1B" w14:textId="77777777" w:rsidR="00711867" w:rsidRDefault="00711867">
      <w:pPr>
        <w:pStyle w:val="TOC2"/>
        <w:rPr>
          <w:rFonts w:asciiTheme="minorHAnsi" w:eastAsiaTheme="minorEastAsia" w:hAnsiTheme="minorHAnsi" w:cstheme="minorBidi"/>
          <w:b w:val="0"/>
          <w:noProof/>
          <w:sz w:val="22"/>
          <w:szCs w:val="22"/>
        </w:rPr>
      </w:pPr>
      <w:hyperlink w:anchor="_Toc486338268" w:history="1">
        <w:r w:rsidRPr="00454223">
          <w:rPr>
            <w:rStyle w:val="Hyperlink"/>
            <w:rFonts w:eastAsia="Calibri"/>
            <w:noProof/>
          </w:rPr>
          <w:t>6.6</w:t>
        </w:r>
        <w:r>
          <w:rPr>
            <w:rFonts w:asciiTheme="minorHAnsi" w:eastAsiaTheme="minorEastAsia" w:hAnsiTheme="minorHAnsi" w:cstheme="minorBidi"/>
            <w:b w:val="0"/>
            <w:noProof/>
            <w:sz w:val="22"/>
            <w:szCs w:val="22"/>
          </w:rPr>
          <w:tab/>
        </w:r>
        <w:r w:rsidRPr="00454223">
          <w:rPr>
            <w:rStyle w:val="Hyperlink"/>
            <w:noProof/>
          </w:rPr>
          <w:t>Rollback Verification Procedure</w:t>
        </w:r>
        <w:r>
          <w:rPr>
            <w:noProof/>
            <w:webHidden/>
          </w:rPr>
          <w:tab/>
        </w:r>
        <w:r>
          <w:rPr>
            <w:noProof/>
            <w:webHidden/>
          </w:rPr>
          <w:fldChar w:fldCharType="begin"/>
        </w:r>
        <w:r>
          <w:rPr>
            <w:noProof/>
            <w:webHidden/>
          </w:rPr>
          <w:instrText xml:space="preserve"> PAGEREF _Toc486338268 \h </w:instrText>
        </w:r>
        <w:r>
          <w:rPr>
            <w:noProof/>
            <w:webHidden/>
          </w:rPr>
        </w:r>
        <w:r>
          <w:rPr>
            <w:noProof/>
            <w:webHidden/>
          </w:rPr>
          <w:fldChar w:fldCharType="separate"/>
        </w:r>
        <w:r>
          <w:rPr>
            <w:noProof/>
            <w:webHidden/>
          </w:rPr>
          <w:t>10</w:t>
        </w:r>
        <w:r>
          <w:rPr>
            <w:noProof/>
            <w:webHidden/>
          </w:rPr>
          <w:fldChar w:fldCharType="end"/>
        </w:r>
      </w:hyperlink>
    </w:p>
    <w:p w14:paraId="28859486" w14:textId="378B4050" w:rsidR="00255B87" w:rsidRDefault="003224BE" w:rsidP="00255B87">
      <w:pPr>
        <w:pStyle w:val="TOC1"/>
        <w:sectPr w:rsidR="00255B87" w:rsidSect="0028784E">
          <w:pgSz w:w="12240" w:h="15840" w:code="1"/>
          <w:pgMar w:top="1440" w:right="1440" w:bottom="1440" w:left="1440" w:header="720" w:footer="720" w:gutter="0"/>
          <w:pgNumType w:fmt="lowerRoman"/>
          <w:cols w:space="720"/>
          <w:docGrid w:linePitch="360"/>
        </w:sectPr>
      </w:pPr>
      <w:r>
        <w:fldChar w:fldCharType="end"/>
      </w:r>
    </w:p>
    <w:p w14:paraId="7A930208" w14:textId="28F139F2" w:rsidR="004F3A80" w:rsidRDefault="00255B87" w:rsidP="00255B87">
      <w:pPr>
        <w:pStyle w:val="Title"/>
      </w:pPr>
      <w:r>
        <w:lastRenderedPageBreak/>
        <w:t>Table of Tables</w:t>
      </w:r>
    </w:p>
    <w:p w14:paraId="2872C809" w14:textId="3BBE3B41" w:rsidR="00255B87" w:rsidRDefault="00255B87">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\f T \h \z \c "Table" </w:instrText>
      </w:r>
      <w:r>
        <w:fldChar w:fldCharType="separate"/>
      </w:r>
      <w:hyperlink w:anchor="_Toc479253799" w:history="1">
        <w:r w:rsidRPr="008E0999">
          <w:rPr>
            <w:rStyle w:val="Hyperlink"/>
            <w:noProof/>
          </w:rPr>
          <w:t>Table 1: Deployment, Installation, Back-out, and Rollback Roles and Responsibilities</w:t>
        </w:r>
        <w:r>
          <w:rPr>
            <w:noProof/>
            <w:webHidden/>
          </w:rPr>
          <w:tab/>
        </w:r>
        <w:r>
          <w:rPr>
            <w:noProof/>
            <w:webHidden/>
          </w:rPr>
          <w:fldChar w:fldCharType="begin"/>
        </w:r>
        <w:r>
          <w:rPr>
            <w:noProof/>
            <w:webHidden/>
          </w:rPr>
          <w:instrText xml:space="preserve"> PAGEREF _Toc479253799 \h </w:instrText>
        </w:r>
        <w:r>
          <w:rPr>
            <w:noProof/>
            <w:webHidden/>
          </w:rPr>
        </w:r>
        <w:r>
          <w:rPr>
            <w:noProof/>
            <w:webHidden/>
          </w:rPr>
          <w:fldChar w:fldCharType="separate"/>
        </w:r>
        <w:r w:rsidR="0074263B">
          <w:rPr>
            <w:noProof/>
            <w:webHidden/>
          </w:rPr>
          <w:t>1</w:t>
        </w:r>
        <w:r>
          <w:rPr>
            <w:noProof/>
            <w:webHidden/>
          </w:rPr>
          <w:fldChar w:fldCharType="end"/>
        </w:r>
      </w:hyperlink>
    </w:p>
    <w:p w14:paraId="188A81AD" w14:textId="6774E94B" w:rsidR="00824938" w:rsidRDefault="00CB2A6D"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sidRPr="008E0999">
          <w:rPr>
            <w:rStyle w:val="Hyperlink"/>
            <w:noProof/>
          </w:rPr>
          <w:t xml:space="preserve">Table 2: </w:t>
        </w:r>
        <w:r w:rsidR="00824938">
          <w:rPr>
            <w:rStyle w:val="Hyperlink"/>
            <w:noProof/>
          </w:rPr>
          <w:t xml:space="preserve">TEST </w:t>
        </w:r>
        <w:r w:rsidR="00824938" w:rsidRPr="008E0999">
          <w:rPr>
            <w:rStyle w:val="Hyperlink"/>
            <w:noProof/>
          </w:rPr>
          <w:t>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74263B">
          <w:rPr>
            <w:noProof/>
            <w:webHidden/>
          </w:rPr>
          <w:t>3</w:t>
        </w:r>
        <w:r w:rsidR="00824938">
          <w:rPr>
            <w:noProof/>
            <w:webHidden/>
          </w:rPr>
          <w:fldChar w:fldCharType="end"/>
        </w:r>
      </w:hyperlink>
    </w:p>
    <w:p w14:paraId="149D80EC" w14:textId="54185DA6" w:rsidR="00824938" w:rsidRDefault="00CB2A6D" w:rsidP="00824938">
      <w:pPr>
        <w:pStyle w:val="TableofFigures"/>
        <w:tabs>
          <w:tab w:val="right" w:leader="dot" w:pos="9350"/>
        </w:tabs>
        <w:rPr>
          <w:rFonts w:asciiTheme="minorHAnsi" w:eastAsiaTheme="minorEastAsia" w:hAnsiTheme="minorHAnsi" w:cstheme="minorBidi"/>
          <w:noProof/>
          <w:szCs w:val="22"/>
        </w:rPr>
      </w:pPr>
      <w:hyperlink w:anchor="_Toc479253800" w:history="1">
        <w:r w:rsidR="00824938">
          <w:rPr>
            <w:rStyle w:val="Hyperlink"/>
            <w:noProof/>
          </w:rPr>
          <w:t>Table 3</w:t>
        </w:r>
        <w:r w:rsidR="00824938" w:rsidRPr="008E0999">
          <w:rPr>
            <w:rStyle w:val="Hyperlink"/>
            <w:noProof/>
          </w:rPr>
          <w:t>: Site Preparation</w:t>
        </w:r>
        <w:r w:rsidR="00824938">
          <w:rPr>
            <w:noProof/>
            <w:webHidden/>
          </w:rPr>
          <w:tab/>
        </w:r>
        <w:r w:rsidR="00824938">
          <w:rPr>
            <w:noProof/>
            <w:webHidden/>
          </w:rPr>
          <w:fldChar w:fldCharType="begin"/>
        </w:r>
        <w:r w:rsidR="00824938">
          <w:rPr>
            <w:noProof/>
            <w:webHidden/>
          </w:rPr>
          <w:instrText xml:space="preserve"> PAGEREF _Toc479253800 \h </w:instrText>
        </w:r>
        <w:r w:rsidR="00824938">
          <w:rPr>
            <w:noProof/>
            <w:webHidden/>
          </w:rPr>
        </w:r>
        <w:r w:rsidR="00824938">
          <w:rPr>
            <w:noProof/>
            <w:webHidden/>
          </w:rPr>
          <w:fldChar w:fldCharType="separate"/>
        </w:r>
        <w:r w:rsidR="0074263B">
          <w:rPr>
            <w:noProof/>
            <w:webHidden/>
          </w:rPr>
          <w:t>3</w:t>
        </w:r>
        <w:r w:rsidR="00824938">
          <w:rPr>
            <w:noProof/>
            <w:webHidden/>
          </w:rPr>
          <w:fldChar w:fldCharType="end"/>
        </w:r>
      </w:hyperlink>
    </w:p>
    <w:p w14:paraId="41DA9B1F" w14:textId="7C9E3691" w:rsidR="00255B87" w:rsidRDefault="00CB2A6D">
      <w:pPr>
        <w:pStyle w:val="TableofFigures"/>
        <w:tabs>
          <w:tab w:val="right" w:leader="dot" w:pos="9350"/>
        </w:tabs>
        <w:rPr>
          <w:rFonts w:asciiTheme="minorHAnsi" w:eastAsiaTheme="minorEastAsia" w:hAnsiTheme="minorHAnsi" w:cstheme="minorBidi"/>
          <w:noProof/>
          <w:szCs w:val="22"/>
        </w:rPr>
      </w:pPr>
      <w:hyperlink w:anchor="_Toc479253801" w:history="1">
        <w:r w:rsidR="00255B87" w:rsidRPr="008E0999">
          <w:rPr>
            <w:rStyle w:val="Hyperlink"/>
            <w:noProof/>
          </w:rPr>
          <w:t>Tabl</w:t>
        </w:r>
        <w:r w:rsidR="00824938">
          <w:rPr>
            <w:rStyle w:val="Hyperlink"/>
            <w:noProof/>
          </w:rPr>
          <w:t>e 4</w:t>
        </w:r>
        <w:r w:rsidR="00255B87" w:rsidRPr="008E0999">
          <w:rPr>
            <w:rStyle w:val="Hyperlink"/>
            <w:noProof/>
          </w:rPr>
          <w:t>: Facility-Specific Features</w:t>
        </w:r>
        <w:r w:rsidR="00255B87">
          <w:rPr>
            <w:noProof/>
            <w:webHidden/>
          </w:rPr>
          <w:tab/>
        </w:r>
        <w:r w:rsidR="00255B87">
          <w:rPr>
            <w:noProof/>
            <w:webHidden/>
          </w:rPr>
          <w:fldChar w:fldCharType="begin"/>
        </w:r>
        <w:r w:rsidR="00255B87">
          <w:rPr>
            <w:noProof/>
            <w:webHidden/>
          </w:rPr>
          <w:instrText xml:space="preserve"> PAGEREF _Toc479253801 \h </w:instrText>
        </w:r>
        <w:r w:rsidR="00255B87">
          <w:rPr>
            <w:noProof/>
            <w:webHidden/>
          </w:rPr>
        </w:r>
        <w:r w:rsidR="00255B87">
          <w:rPr>
            <w:noProof/>
            <w:webHidden/>
          </w:rPr>
          <w:fldChar w:fldCharType="separate"/>
        </w:r>
        <w:r w:rsidR="0074263B">
          <w:rPr>
            <w:noProof/>
            <w:webHidden/>
          </w:rPr>
          <w:t>3</w:t>
        </w:r>
        <w:r w:rsidR="00255B87">
          <w:rPr>
            <w:noProof/>
            <w:webHidden/>
          </w:rPr>
          <w:fldChar w:fldCharType="end"/>
        </w:r>
      </w:hyperlink>
    </w:p>
    <w:p w14:paraId="7A7DC8DA" w14:textId="6913ECE7" w:rsidR="00255B87" w:rsidRDefault="00CB2A6D">
      <w:pPr>
        <w:pStyle w:val="TableofFigures"/>
        <w:tabs>
          <w:tab w:val="right" w:leader="dot" w:pos="9350"/>
        </w:tabs>
        <w:rPr>
          <w:rFonts w:asciiTheme="minorHAnsi" w:eastAsiaTheme="minorEastAsia" w:hAnsiTheme="minorHAnsi" w:cstheme="minorBidi"/>
          <w:noProof/>
          <w:szCs w:val="22"/>
        </w:rPr>
      </w:pPr>
      <w:hyperlink w:anchor="_Toc479253802" w:history="1">
        <w:r w:rsidR="00824938">
          <w:rPr>
            <w:rStyle w:val="Hyperlink"/>
            <w:noProof/>
          </w:rPr>
          <w:t>Table 5</w:t>
        </w:r>
        <w:r w:rsidR="00255B87" w:rsidRPr="008E0999">
          <w:rPr>
            <w:rStyle w:val="Hyperlink"/>
            <w:noProof/>
          </w:rPr>
          <w:t>: Hardware Specifications</w:t>
        </w:r>
        <w:r w:rsidR="00255B87">
          <w:rPr>
            <w:noProof/>
            <w:webHidden/>
          </w:rPr>
          <w:tab/>
        </w:r>
        <w:r w:rsidR="00255B87">
          <w:rPr>
            <w:noProof/>
            <w:webHidden/>
          </w:rPr>
          <w:fldChar w:fldCharType="begin"/>
        </w:r>
        <w:r w:rsidR="00255B87">
          <w:rPr>
            <w:noProof/>
            <w:webHidden/>
          </w:rPr>
          <w:instrText xml:space="preserve"> PAGEREF _Toc479253802 \h </w:instrText>
        </w:r>
        <w:r w:rsidR="00255B87">
          <w:rPr>
            <w:noProof/>
            <w:webHidden/>
          </w:rPr>
        </w:r>
        <w:r w:rsidR="00255B87">
          <w:rPr>
            <w:noProof/>
            <w:webHidden/>
          </w:rPr>
          <w:fldChar w:fldCharType="separate"/>
        </w:r>
        <w:r w:rsidR="0074263B">
          <w:rPr>
            <w:noProof/>
            <w:webHidden/>
          </w:rPr>
          <w:t>4</w:t>
        </w:r>
        <w:r w:rsidR="00255B87">
          <w:rPr>
            <w:noProof/>
            <w:webHidden/>
          </w:rPr>
          <w:fldChar w:fldCharType="end"/>
        </w:r>
      </w:hyperlink>
    </w:p>
    <w:p w14:paraId="468F562B" w14:textId="19D05C0C" w:rsidR="00255B87" w:rsidRDefault="00CB2A6D">
      <w:pPr>
        <w:pStyle w:val="TableofFigures"/>
        <w:tabs>
          <w:tab w:val="right" w:leader="dot" w:pos="9350"/>
        </w:tabs>
        <w:rPr>
          <w:rFonts w:asciiTheme="minorHAnsi" w:eastAsiaTheme="minorEastAsia" w:hAnsiTheme="minorHAnsi" w:cstheme="minorBidi"/>
          <w:noProof/>
          <w:szCs w:val="22"/>
        </w:rPr>
      </w:pPr>
      <w:hyperlink w:anchor="_Toc479253803" w:history="1">
        <w:r w:rsidR="00824938">
          <w:rPr>
            <w:rStyle w:val="Hyperlink"/>
            <w:noProof/>
          </w:rPr>
          <w:t>Table 6</w:t>
        </w:r>
        <w:r w:rsidR="00255B87" w:rsidRPr="008E0999">
          <w:rPr>
            <w:rStyle w:val="Hyperlink"/>
            <w:noProof/>
          </w:rPr>
          <w:t>: Software Specifications</w:t>
        </w:r>
        <w:r w:rsidR="00255B87">
          <w:rPr>
            <w:noProof/>
            <w:webHidden/>
          </w:rPr>
          <w:tab/>
        </w:r>
        <w:r w:rsidR="00255B87">
          <w:rPr>
            <w:noProof/>
            <w:webHidden/>
          </w:rPr>
          <w:fldChar w:fldCharType="begin"/>
        </w:r>
        <w:r w:rsidR="00255B87">
          <w:rPr>
            <w:noProof/>
            <w:webHidden/>
          </w:rPr>
          <w:instrText xml:space="preserve"> PAGEREF _Toc479253803 \h </w:instrText>
        </w:r>
        <w:r w:rsidR="00255B87">
          <w:rPr>
            <w:noProof/>
            <w:webHidden/>
          </w:rPr>
        </w:r>
        <w:r w:rsidR="00255B87">
          <w:rPr>
            <w:noProof/>
            <w:webHidden/>
          </w:rPr>
          <w:fldChar w:fldCharType="separate"/>
        </w:r>
        <w:r w:rsidR="0074263B">
          <w:rPr>
            <w:noProof/>
            <w:webHidden/>
          </w:rPr>
          <w:t>4</w:t>
        </w:r>
        <w:r w:rsidR="00255B87">
          <w:rPr>
            <w:noProof/>
            <w:webHidden/>
          </w:rPr>
          <w:fldChar w:fldCharType="end"/>
        </w:r>
      </w:hyperlink>
    </w:p>
    <w:p w14:paraId="03E99CF2" w14:textId="6A166B3D" w:rsidR="00255B87" w:rsidRDefault="00CB2A6D">
      <w:pPr>
        <w:pStyle w:val="TableofFigures"/>
        <w:tabs>
          <w:tab w:val="right" w:leader="dot" w:pos="9350"/>
        </w:tabs>
        <w:rPr>
          <w:rFonts w:asciiTheme="minorHAnsi" w:eastAsiaTheme="minorEastAsia" w:hAnsiTheme="minorHAnsi" w:cstheme="minorBidi"/>
          <w:noProof/>
          <w:szCs w:val="22"/>
        </w:rPr>
      </w:pPr>
      <w:hyperlink w:anchor="_Toc479253804" w:history="1">
        <w:r w:rsidR="00824938">
          <w:rPr>
            <w:rStyle w:val="Hyperlink"/>
            <w:noProof/>
          </w:rPr>
          <w:t>Table 7</w:t>
        </w:r>
        <w:r w:rsidR="00255B87" w:rsidRPr="008E0999">
          <w:rPr>
            <w:rStyle w:val="Hyperlink"/>
            <w:noProof/>
          </w:rPr>
          <w:t>: Deployment/Installation/Back-Out Checklist</w:t>
        </w:r>
        <w:r w:rsidR="00255B87">
          <w:rPr>
            <w:noProof/>
            <w:webHidden/>
          </w:rPr>
          <w:tab/>
        </w:r>
        <w:r w:rsidR="00255B87">
          <w:rPr>
            <w:noProof/>
            <w:webHidden/>
          </w:rPr>
          <w:fldChar w:fldCharType="begin"/>
        </w:r>
        <w:r w:rsidR="00255B87">
          <w:rPr>
            <w:noProof/>
            <w:webHidden/>
          </w:rPr>
          <w:instrText xml:space="preserve"> PAGEREF _Toc479253804 \h </w:instrText>
        </w:r>
        <w:r w:rsidR="00255B87">
          <w:rPr>
            <w:noProof/>
            <w:webHidden/>
          </w:rPr>
        </w:r>
        <w:r w:rsidR="00255B87">
          <w:rPr>
            <w:noProof/>
            <w:webHidden/>
          </w:rPr>
          <w:fldChar w:fldCharType="separate"/>
        </w:r>
        <w:r w:rsidR="0074263B">
          <w:rPr>
            <w:noProof/>
            <w:webHidden/>
          </w:rPr>
          <w:t>5</w:t>
        </w:r>
        <w:r w:rsidR="00255B87">
          <w:rPr>
            <w:noProof/>
            <w:webHidden/>
          </w:rPr>
          <w:fldChar w:fldCharType="end"/>
        </w:r>
      </w:hyperlink>
    </w:p>
    <w:p w14:paraId="75BE8495" w14:textId="0B9585F0" w:rsidR="00255B87" w:rsidRPr="00255B87" w:rsidRDefault="00255B87" w:rsidP="00255B87">
      <w:r>
        <w:fldChar w:fldCharType="end"/>
      </w:r>
    </w:p>
    <w:p w14:paraId="68DFBE09" w14:textId="77777777" w:rsidR="003473C3" w:rsidRDefault="003473C3" w:rsidP="003473C3"/>
    <w:p w14:paraId="6A8A416C" w14:textId="77777777" w:rsidR="003473C3" w:rsidRPr="003473C3" w:rsidRDefault="003473C3" w:rsidP="003473C3">
      <w:pPr>
        <w:sectPr w:rsidR="003473C3" w:rsidRPr="003473C3" w:rsidSect="0028784E">
          <w:pgSz w:w="12240" w:h="15840" w:code="1"/>
          <w:pgMar w:top="1440" w:right="1440" w:bottom="1440" w:left="1440" w:header="720" w:footer="720" w:gutter="0"/>
          <w:pgNumType w:fmt="lowerRoman"/>
          <w:cols w:space="720"/>
          <w:docGrid w:linePitch="360"/>
        </w:sectPr>
      </w:pPr>
      <w:bookmarkStart w:id="1" w:name="_GoBack"/>
      <w:bookmarkEnd w:id="1"/>
    </w:p>
    <w:p w14:paraId="74C1F2BA" w14:textId="77777777" w:rsidR="00F07689" w:rsidRPr="00F07689" w:rsidRDefault="00F07689" w:rsidP="009123D8">
      <w:pPr>
        <w:pStyle w:val="Heading1"/>
      </w:pPr>
      <w:bookmarkStart w:id="2" w:name="_Toc421540852"/>
      <w:bookmarkStart w:id="3" w:name="_Toc486338220"/>
      <w:bookmarkEnd w:id="0"/>
      <w:r w:rsidRPr="00F07689">
        <w:lastRenderedPageBreak/>
        <w:t>Introduction</w:t>
      </w:r>
      <w:bookmarkEnd w:id="2"/>
      <w:bookmarkEnd w:id="3"/>
    </w:p>
    <w:p w14:paraId="4F89B34B" w14:textId="1DB41F28"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the </w:t>
      </w:r>
      <w:r w:rsidR="00565037">
        <w:rPr>
          <w:sz w:val="24"/>
          <w:szCs w:val="20"/>
        </w:rPr>
        <w:t>IB*2.0*577</w:t>
      </w:r>
      <w:r w:rsidRPr="00F07689">
        <w:rPr>
          <w:sz w:val="24"/>
          <w:szCs w:val="20"/>
        </w:rPr>
        <w:t xml:space="preserve"> </w:t>
      </w:r>
      <w:r w:rsidR="001A0330">
        <w:rPr>
          <w:sz w:val="24"/>
          <w:szCs w:val="20"/>
        </w:rPr>
        <w:t>a</w:t>
      </w:r>
      <w:r w:rsidR="00B33FDA">
        <w:rPr>
          <w:sz w:val="24"/>
          <w:szCs w:val="20"/>
        </w:rPr>
        <w:t>nd</w:t>
      </w:r>
      <w:r w:rsidR="001A0330">
        <w:rPr>
          <w:sz w:val="24"/>
          <w:szCs w:val="20"/>
        </w:rPr>
        <w:t xml:space="preserve"> how to back-out the product and rollback to a previous version or data set.</w:t>
      </w:r>
    </w:p>
    <w:p w14:paraId="70B02979" w14:textId="77777777" w:rsidR="00F07689" w:rsidRPr="00F07689" w:rsidRDefault="00F07689" w:rsidP="009123D8">
      <w:pPr>
        <w:pStyle w:val="Heading2"/>
      </w:pPr>
      <w:bookmarkStart w:id="4" w:name="_Toc411336914"/>
      <w:bookmarkStart w:id="5" w:name="_Toc421540853"/>
      <w:bookmarkStart w:id="6" w:name="_Toc486338221"/>
      <w:r w:rsidRPr="00F07689">
        <w:t>Purpose</w:t>
      </w:r>
      <w:bookmarkEnd w:id="4"/>
      <w:bookmarkEnd w:id="5"/>
      <w:bookmarkEnd w:id="6"/>
    </w:p>
    <w:p w14:paraId="3133F002" w14:textId="1A2E669E" w:rsidR="00F07689" w:rsidRPr="00F07689" w:rsidRDefault="00F07689" w:rsidP="0040401C">
      <w:pPr>
        <w:spacing w:before="120" w:after="120"/>
        <w:rPr>
          <w:sz w:val="24"/>
          <w:szCs w:val="20"/>
        </w:rPr>
      </w:pPr>
      <w:r w:rsidRPr="00F07689">
        <w:rPr>
          <w:sz w:val="24"/>
          <w:szCs w:val="20"/>
        </w:rPr>
        <w:t xml:space="preserve">The purpose of this plan is to provide a single, common document that describes how, when, where, and to whom the </w:t>
      </w:r>
      <w:r w:rsidR="00565037">
        <w:rPr>
          <w:sz w:val="24"/>
          <w:szCs w:val="20"/>
        </w:rPr>
        <w:t>IB*2.0*577</w:t>
      </w:r>
      <w:r w:rsidRPr="00F07689">
        <w:rPr>
          <w:sz w:val="24"/>
          <w:szCs w:val="20"/>
        </w:rPr>
        <w:t xml:space="preserve"> will be deployed</w:t>
      </w:r>
      <w:r w:rsidR="009123D8">
        <w:rPr>
          <w:sz w:val="24"/>
          <w:szCs w:val="20"/>
        </w:rPr>
        <w:t xml:space="preserve"> and installed, as well as how it is to be backed out and rolled back, if necessary</w:t>
      </w:r>
      <w:r w:rsidRPr="00F07689">
        <w:rPr>
          <w:sz w:val="24"/>
          <w:szCs w:val="20"/>
        </w:rPr>
        <w:t xml:space="preserve">. The plan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308B49AE" w14:textId="77777777" w:rsidR="00F07689" w:rsidRPr="00F07689" w:rsidRDefault="00F07689" w:rsidP="009123D8">
      <w:pPr>
        <w:pStyle w:val="Heading2"/>
      </w:pPr>
      <w:bookmarkStart w:id="7" w:name="_Toc411336918"/>
      <w:bookmarkStart w:id="8" w:name="_Toc421540857"/>
      <w:bookmarkStart w:id="9" w:name="_Toc486338222"/>
      <w:r w:rsidRPr="00F07689">
        <w:t>Dependencies</w:t>
      </w:r>
      <w:bookmarkEnd w:id="7"/>
      <w:bookmarkEnd w:id="8"/>
      <w:bookmarkEnd w:id="9"/>
    </w:p>
    <w:p w14:paraId="6A966097" w14:textId="7B000275" w:rsidR="00B55A93" w:rsidRDefault="00B2412C" w:rsidP="00B55A93">
      <w:r>
        <w:t>IB*2.0*407, IB*2.0*</w:t>
      </w:r>
      <w:r w:rsidR="003E4236">
        <w:t xml:space="preserve">522, IB*2.0*547, IB*2.0*550, </w:t>
      </w:r>
      <w:r>
        <w:t>IB*2.0*554</w:t>
      </w:r>
      <w:r w:rsidR="00224712">
        <w:t xml:space="preserve"> and IB*2.0*576</w:t>
      </w:r>
      <w:r w:rsidR="00B55A93">
        <w:t xml:space="preserve"> must be installed </w:t>
      </w:r>
      <w:r w:rsidR="00B55A93" w:rsidRPr="00B55A93">
        <w:rPr>
          <w:b/>
          <w:u w:val="single"/>
        </w:rPr>
        <w:t>before</w:t>
      </w:r>
      <w:r w:rsidR="007453E5">
        <w:t xml:space="preserve"> IB*2.0</w:t>
      </w:r>
      <w:r w:rsidR="00B55A93">
        <w:t>*</w:t>
      </w:r>
      <w:r w:rsidR="00565037">
        <w:t>577</w:t>
      </w:r>
      <w:r w:rsidR="00B55A93">
        <w:t>.</w:t>
      </w:r>
    </w:p>
    <w:p w14:paraId="26046C88" w14:textId="77777777" w:rsidR="00F07689" w:rsidRPr="00F07689" w:rsidRDefault="00F07689" w:rsidP="009123D8">
      <w:pPr>
        <w:pStyle w:val="Heading2"/>
      </w:pPr>
      <w:bookmarkStart w:id="10" w:name="_Toc471312552"/>
      <w:bookmarkStart w:id="11" w:name="_Toc471313647"/>
      <w:bookmarkStart w:id="12" w:name="_Toc471396301"/>
      <w:bookmarkStart w:id="13" w:name="_Toc471401571"/>
      <w:bookmarkStart w:id="14" w:name="_Toc471401739"/>
      <w:bookmarkStart w:id="15" w:name="_Toc411336919"/>
      <w:bookmarkStart w:id="16" w:name="_Toc421540858"/>
      <w:bookmarkStart w:id="17" w:name="_Toc486338223"/>
      <w:bookmarkEnd w:id="10"/>
      <w:bookmarkEnd w:id="11"/>
      <w:bookmarkEnd w:id="12"/>
      <w:bookmarkEnd w:id="13"/>
      <w:bookmarkEnd w:id="14"/>
      <w:r w:rsidRPr="00F07689">
        <w:t>Constraints</w:t>
      </w:r>
      <w:bookmarkEnd w:id="15"/>
      <w:bookmarkEnd w:id="16"/>
      <w:bookmarkEnd w:id="17"/>
    </w:p>
    <w:p w14:paraId="12C4518F" w14:textId="24EEDAA8" w:rsidR="00F07689" w:rsidRDefault="00B55A93" w:rsidP="00256482">
      <w:r>
        <w:t>This patch is intended for</w:t>
      </w:r>
      <w:r w:rsidR="006C51ED">
        <w:t xml:space="preserve"> a fully patched VistA system.</w:t>
      </w:r>
    </w:p>
    <w:p w14:paraId="10799E9D" w14:textId="77777777" w:rsidR="00F07689" w:rsidRPr="00F07689" w:rsidRDefault="00F07689" w:rsidP="009123D8">
      <w:pPr>
        <w:pStyle w:val="Heading1"/>
      </w:pPr>
      <w:bookmarkStart w:id="18" w:name="_Toc471313649"/>
      <w:bookmarkStart w:id="19" w:name="_Toc471396303"/>
      <w:bookmarkStart w:id="20" w:name="_Toc471401573"/>
      <w:bookmarkStart w:id="21" w:name="_Toc471401741"/>
      <w:bookmarkStart w:id="22" w:name="_Toc411336920"/>
      <w:bookmarkStart w:id="23" w:name="_Toc421540859"/>
      <w:bookmarkStart w:id="24" w:name="_Ref444173896"/>
      <w:bookmarkStart w:id="25" w:name="_Ref444173917"/>
      <w:bookmarkStart w:id="26" w:name="_Toc486338224"/>
      <w:bookmarkEnd w:id="18"/>
      <w:bookmarkEnd w:id="19"/>
      <w:bookmarkEnd w:id="20"/>
      <w:bookmarkEnd w:id="21"/>
      <w:r w:rsidRPr="00F07689">
        <w:t>Roles and Responsibilities</w:t>
      </w:r>
      <w:bookmarkEnd w:id="22"/>
      <w:bookmarkEnd w:id="23"/>
      <w:bookmarkEnd w:id="24"/>
      <w:bookmarkEnd w:id="25"/>
      <w:bookmarkEnd w:id="26"/>
    </w:p>
    <w:p w14:paraId="0423F250" w14:textId="5D33AC1D" w:rsidR="00BB7924" w:rsidRDefault="00BB7924" w:rsidP="00BB7924">
      <w:pPr>
        <w:pStyle w:val="Caption"/>
        <w:jc w:val="center"/>
      </w:pPr>
      <w:bookmarkStart w:id="27" w:name="_Toc479253799"/>
      <w:r>
        <w:t xml:space="preserve">Table </w:t>
      </w:r>
      <w:r w:rsidR="00CB2A6D">
        <w:fldChar w:fldCharType="begin"/>
      </w:r>
      <w:r w:rsidR="00CB2A6D">
        <w:instrText xml:space="preserve"> SEQ Table \* ARABIC </w:instrText>
      </w:r>
      <w:r w:rsidR="00CB2A6D">
        <w:fldChar w:fldCharType="separate"/>
      </w:r>
      <w:r w:rsidR="00D575F5">
        <w:rPr>
          <w:noProof/>
        </w:rPr>
        <w:t>1</w:t>
      </w:r>
      <w:r w:rsidR="00CB2A6D">
        <w:rPr>
          <w:noProof/>
        </w:rPr>
        <w:fldChar w:fldCharType="end"/>
      </w:r>
      <w:r w:rsidRPr="00330CCB">
        <w:t>: Deployment, Installation, Back-out, and Rollback Roles and Responsibilities</w:t>
      </w:r>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3"/>
        <w:gridCol w:w="2743"/>
        <w:gridCol w:w="1423"/>
        <w:gridCol w:w="3444"/>
        <w:gridCol w:w="1423"/>
      </w:tblGrid>
      <w:tr w:rsidR="00F07689" w:rsidRPr="00F07689" w14:paraId="379666D0" w14:textId="77777777" w:rsidTr="00BB7924">
        <w:trPr>
          <w:cantSplit/>
          <w:tblHeader/>
        </w:trPr>
        <w:tc>
          <w:tcPr>
            <w:tcW w:w="284" w:type="pct"/>
            <w:shd w:val="clear" w:color="auto" w:fill="CCCCCC"/>
            <w:vAlign w:val="center"/>
          </w:tcPr>
          <w:p w14:paraId="732831D6" w14:textId="77777777" w:rsidR="00F07689" w:rsidRPr="00F07689" w:rsidRDefault="00F07689" w:rsidP="009B480C">
            <w:pPr>
              <w:pStyle w:val="TableHeading"/>
            </w:pPr>
            <w:bookmarkStart w:id="28" w:name="ColumnTitle_03"/>
            <w:bookmarkEnd w:id="28"/>
            <w:r w:rsidRPr="00F07689">
              <w:t>ID</w:t>
            </w:r>
          </w:p>
        </w:tc>
        <w:tc>
          <w:tcPr>
            <w:tcW w:w="1432" w:type="pct"/>
            <w:shd w:val="clear" w:color="auto" w:fill="CCCCCC"/>
            <w:vAlign w:val="center"/>
          </w:tcPr>
          <w:p w14:paraId="680CD786" w14:textId="77777777" w:rsidR="00F07689" w:rsidRPr="00F07689" w:rsidRDefault="00F07689" w:rsidP="009B480C">
            <w:pPr>
              <w:pStyle w:val="TableHeading"/>
            </w:pPr>
            <w:r w:rsidRPr="00F07689">
              <w:t>Team</w:t>
            </w:r>
          </w:p>
        </w:tc>
        <w:tc>
          <w:tcPr>
            <w:tcW w:w="743" w:type="pct"/>
            <w:shd w:val="clear" w:color="auto" w:fill="CCCCCC"/>
            <w:vAlign w:val="center"/>
          </w:tcPr>
          <w:p w14:paraId="4FB52863" w14:textId="77777777" w:rsidR="00F07689" w:rsidRPr="00F07689" w:rsidRDefault="00F07689" w:rsidP="009B480C">
            <w:pPr>
              <w:pStyle w:val="TableHeading"/>
            </w:pPr>
            <w:r w:rsidRPr="00F07689">
              <w:t>Phase / Role</w:t>
            </w:r>
          </w:p>
        </w:tc>
        <w:tc>
          <w:tcPr>
            <w:tcW w:w="1798" w:type="pct"/>
            <w:shd w:val="clear" w:color="auto" w:fill="CCCCCC"/>
            <w:vAlign w:val="center"/>
          </w:tcPr>
          <w:p w14:paraId="73DB4FB4" w14:textId="77777777" w:rsidR="00F07689" w:rsidRPr="00F07689" w:rsidRDefault="00F07689" w:rsidP="009B480C">
            <w:pPr>
              <w:pStyle w:val="TableHeading"/>
            </w:pPr>
            <w:r w:rsidRPr="00F07689">
              <w:t>Tasks</w:t>
            </w:r>
          </w:p>
        </w:tc>
        <w:tc>
          <w:tcPr>
            <w:tcW w:w="743" w:type="pct"/>
            <w:shd w:val="clear" w:color="auto" w:fill="CCCCCC"/>
            <w:vAlign w:val="center"/>
          </w:tcPr>
          <w:p w14:paraId="3F8DA241" w14:textId="77777777" w:rsidR="00F07689" w:rsidRPr="00F07689" w:rsidRDefault="00F07689" w:rsidP="009B480C">
            <w:pPr>
              <w:pStyle w:val="TableHeading"/>
              <w:rPr>
                <w:szCs w:val="28"/>
              </w:rPr>
            </w:pPr>
            <w:r w:rsidRPr="00F07689">
              <w:t>Project Phase</w:t>
            </w:r>
            <w:r w:rsidRPr="00F07689">
              <w:rPr>
                <w:szCs w:val="28"/>
              </w:rPr>
              <w:t xml:space="preserve"> (See Schedule)</w:t>
            </w:r>
          </w:p>
        </w:tc>
      </w:tr>
      <w:tr w:rsidR="00F07689" w:rsidRPr="00F07689" w14:paraId="7173C6A3" w14:textId="77777777" w:rsidTr="00BB7924">
        <w:trPr>
          <w:cantSplit/>
        </w:trPr>
        <w:tc>
          <w:tcPr>
            <w:tcW w:w="284" w:type="pct"/>
            <w:vAlign w:val="center"/>
          </w:tcPr>
          <w:p w14:paraId="1FF3132E" w14:textId="77777777" w:rsidR="00F07689" w:rsidRPr="00F07689" w:rsidRDefault="00726ED6" w:rsidP="009B480C">
            <w:pPr>
              <w:pStyle w:val="TableText"/>
              <w:rPr>
                <w:lang w:val="en-AU"/>
              </w:rPr>
            </w:pPr>
            <w:r>
              <w:rPr>
                <w:lang w:val="en-AU"/>
              </w:rPr>
              <w:t>1</w:t>
            </w:r>
          </w:p>
        </w:tc>
        <w:tc>
          <w:tcPr>
            <w:tcW w:w="1432" w:type="pct"/>
            <w:vAlign w:val="center"/>
          </w:tcPr>
          <w:p w14:paraId="4B33887A" w14:textId="3181F74B" w:rsidR="00F07689" w:rsidRPr="00F07689" w:rsidRDefault="00A82B68" w:rsidP="009B480C">
            <w:pPr>
              <w:pStyle w:val="TableText"/>
              <w:rPr>
                <w:lang w:val="en-AU"/>
              </w:rPr>
            </w:pPr>
            <w:r w:rsidRPr="00724D3C">
              <w:rPr>
                <w:lang w:val="en-AU"/>
              </w:rPr>
              <w:t xml:space="preserve">VA OI&amp;T, </w:t>
            </w:r>
            <w:r w:rsidR="00CA3262" w:rsidRPr="00724D3C">
              <w:rPr>
                <w:lang w:val="en-AU"/>
              </w:rPr>
              <w:t xml:space="preserve">VA </w:t>
            </w:r>
            <w:r w:rsidR="005B3D7A" w:rsidRPr="00724D3C">
              <w:rPr>
                <w:lang w:val="en-AU"/>
              </w:rPr>
              <w:t>OI&amp;T Health P</w:t>
            </w:r>
            <w:r w:rsidR="00CA3262" w:rsidRPr="00724D3C">
              <w:rPr>
                <w:lang w:val="en-AU"/>
              </w:rPr>
              <w:t>roduc</w:t>
            </w:r>
            <w:r w:rsidR="00CE0368" w:rsidRPr="00724D3C">
              <w:rPr>
                <w:lang w:val="en-AU"/>
              </w:rPr>
              <w:t xml:space="preserve">t </w:t>
            </w:r>
            <w:r w:rsidR="005B3D7A" w:rsidRPr="00724D3C">
              <w:rPr>
                <w:lang w:val="en-AU"/>
              </w:rPr>
              <w:t>S</w:t>
            </w:r>
            <w:r w:rsidR="00CE0368" w:rsidRPr="00724D3C">
              <w:rPr>
                <w:lang w:val="en-AU"/>
              </w:rPr>
              <w:t>upport</w:t>
            </w:r>
            <w:r w:rsidR="00FA3A85">
              <w:rPr>
                <w:lang w:val="en-AU"/>
              </w:rPr>
              <w:t xml:space="preserve"> </w:t>
            </w:r>
            <w:r w:rsidRPr="00724D3C">
              <w:rPr>
                <w:lang w:val="en-AU"/>
              </w:rPr>
              <w:t>&amp; PMO (Leidos)</w:t>
            </w:r>
          </w:p>
        </w:tc>
        <w:tc>
          <w:tcPr>
            <w:tcW w:w="743" w:type="pct"/>
            <w:vAlign w:val="center"/>
          </w:tcPr>
          <w:p w14:paraId="13079613"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25152401" w14:textId="77777777" w:rsidR="00F07689" w:rsidRPr="00F07689" w:rsidRDefault="00F07689" w:rsidP="009B480C">
            <w:pPr>
              <w:pStyle w:val="TableText"/>
              <w:rPr>
                <w:lang w:val="en-AU"/>
              </w:rPr>
            </w:pPr>
            <w:r w:rsidRPr="00F07689">
              <w:rPr>
                <w:szCs w:val="22"/>
                <w:lang w:val="en-AU"/>
              </w:rPr>
              <w:t>Plan and schedule deployment (including orchestration with vendors)</w:t>
            </w:r>
          </w:p>
        </w:tc>
        <w:tc>
          <w:tcPr>
            <w:tcW w:w="743" w:type="pct"/>
            <w:vAlign w:val="center"/>
          </w:tcPr>
          <w:p w14:paraId="371310AE" w14:textId="77777777" w:rsidR="00F07689" w:rsidRPr="00F07689" w:rsidRDefault="00726ED6" w:rsidP="009B480C">
            <w:pPr>
              <w:pStyle w:val="TableText"/>
              <w:rPr>
                <w:lang w:val="en-AU"/>
              </w:rPr>
            </w:pPr>
            <w:r>
              <w:rPr>
                <w:lang w:val="en-AU"/>
              </w:rPr>
              <w:t>Planning</w:t>
            </w:r>
          </w:p>
        </w:tc>
      </w:tr>
      <w:tr w:rsidR="00F07689" w:rsidRPr="00F07689" w14:paraId="5699BF7D" w14:textId="77777777" w:rsidTr="00BB7924">
        <w:trPr>
          <w:cantSplit/>
        </w:trPr>
        <w:tc>
          <w:tcPr>
            <w:tcW w:w="284" w:type="pct"/>
            <w:vAlign w:val="center"/>
          </w:tcPr>
          <w:p w14:paraId="01985CD8" w14:textId="77777777" w:rsidR="00F07689" w:rsidRPr="00CE0368" w:rsidRDefault="00726ED6" w:rsidP="009B480C">
            <w:pPr>
              <w:pStyle w:val="TableText"/>
              <w:rPr>
                <w:lang w:val="en-AU"/>
              </w:rPr>
            </w:pPr>
            <w:r>
              <w:rPr>
                <w:lang w:val="en-AU"/>
              </w:rPr>
              <w:t>2</w:t>
            </w:r>
          </w:p>
        </w:tc>
        <w:tc>
          <w:tcPr>
            <w:tcW w:w="1432" w:type="pct"/>
            <w:vAlign w:val="center"/>
          </w:tcPr>
          <w:p w14:paraId="4D2E873C" w14:textId="77777777" w:rsidR="00724D3C" w:rsidRDefault="00724D3C" w:rsidP="009B480C">
            <w:pPr>
              <w:pStyle w:val="TableText"/>
              <w:rPr>
                <w:lang w:val="en-AU"/>
              </w:rPr>
            </w:pPr>
            <w:r>
              <w:rPr>
                <w:lang w:val="en-AU"/>
              </w:rPr>
              <w:t>Local VAMC and CPAC processes</w:t>
            </w:r>
          </w:p>
          <w:p w14:paraId="0D06EE8E" w14:textId="77777777" w:rsidR="00724D3C" w:rsidRDefault="00724D3C" w:rsidP="009B480C">
            <w:pPr>
              <w:pStyle w:val="TableText"/>
              <w:rPr>
                <w:lang w:val="en-AU"/>
              </w:rPr>
            </w:pPr>
          </w:p>
          <w:p w14:paraId="5DFA6FC9" w14:textId="77777777" w:rsidR="00F07689" w:rsidRPr="00CE0368" w:rsidRDefault="00F07689" w:rsidP="009B480C">
            <w:pPr>
              <w:pStyle w:val="TableText"/>
              <w:rPr>
                <w:lang w:val="en-AU"/>
              </w:rPr>
            </w:pPr>
          </w:p>
        </w:tc>
        <w:tc>
          <w:tcPr>
            <w:tcW w:w="743" w:type="pct"/>
            <w:vAlign w:val="center"/>
          </w:tcPr>
          <w:p w14:paraId="6B9F66AE" w14:textId="77777777" w:rsidR="00F07689" w:rsidRPr="002C1137" w:rsidRDefault="00F07689" w:rsidP="009B480C">
            <w:pPr>
              <w:pStyle w:val="TableText"/>
              <w:rPr>
                <w:strike/>
                <w:lang w:val="en-AU"/>
              </w:rPr>
            </w:pPr>
            <w:r w:rsidRPr="005B3D7A">
              <w:rPr>
                <w:szCs w:val="22"/>
                <w:lang w:val="en-AU"/>
              </w:rPr>
              <w:t>Deployment</w:t>
            </w:r>
          </w:p>
        </w:tc>
        <w:tc>
          <w:tcPr>
            <w:tcW w:w="1798" w:type="pct"/>
            <w:vAlign w:val="center"/>
          </w:tcPr>
          <w:p w14:paraId="5D331A4B" w14:textId="77777777" w:rsidR="00F07689" w:rsidRPr="005B3D7A" w:rsidRDefault="00F61A80" w:rsidP="009B480C">
            <w:pPr>
              <w:pStyle w:val="TableText"/>
              <w:rPr>
                <w:lang w:val="en-AU"/>
              </w:rPr>
            </w:pPr>
            <w:r w:rsidRPr="005B3D7A">
              <w:rPr>
                <w:szCs w:val="22"/>
                <w:lang w:val="en-AU"/>
              </w:rPr>
              <w:t>Determine and document the roles and responsibilities of those involved in the deployment.</w:t>
            </w:r>
          </w:p>
        </w:tc>
        <w:tc>
          <w:tcPr>
            <w:tcW w:w="743" w:type="pct"/>
            <w:vAlign w:val="center"/>
          </w:tcPr>
          <w:p w14:paraId="0C849D78" w14:textId="77777777" w:rsidR="00F07689" w:rsidRPr="00F07689" w:rsidRDefault="00726ED6" w:rsidP="009B480C">
            <w:pPr>
              <w:pStyle w:val="TableText"/>
              <w:rPr>
                <w:lang w:val="en-AU"/>
              </w:rPr>
            </w:pPr>
            <w:r>
              <w:rPr>
                <w:lang w:val="en-AU"/>
              </w:rPr>
              <w:t>Planning</w:t>
            </w:r>
          </w:p>
        </w:tc>
      </w:tr>
      <w:tr w:rsidR="00F07689" w:rsidRPr="00F07689" w14:paraId="18CAB11D" w14:textId="77777777" w:rsidTr="00BB7924">
        <w:trPr>
          <w:cantSplit/>
        </w:trPr>
        <w:tc>
          <w:tcPr>
            <w:tcW w:w="284" w:type="pct"/>
            <w:vAlign w:val="center"/>
          </w:tcPr>
          <w:p w14:paraId="6353EF68" w14:textId="77777777" w:rsidR="00F07689" w:rsidRPr="00F07689" w:rsidRDefault="00726ED6" w:rsidP="009B480C">
            <w:pPr>
              <w:pStyle w:val="TableText"/>
              <w:rPr>
                <w:lang w:val="en-AU"/>
              </w:rPr>
            </w:pPr>
            <w:r>
              <w:rPr>
                <w:lang w:val="en-AU"/>
              </w:rPr>
              <w:t>3</w:t>
            </w:r>
          </w:p>
        </w:tc>
        <w:tc>
          <w:tcPr>
            <w:tcW w:w="1432" w:type="pct"/>
            <w:vAlign w:val="center"/>
          </w:tcPr>
          <w:p w14:paraId="2614502F" w14:textId="77777777" w:rsidR="00F07689" w:rsidRPr="00F07689" w:rsidRDefault="003222C8" w:rsidP="009B480C">
            <w:pPr>
              <w:pStyle w:val="TableText"/>
              <w:rPr>
                <w:lang w:val="en-AU"/>
              </w:rPr>
            </w:pPr>
            <w:r w:rsidRPr="00B74C64">
              <w:rPr>
                <w:lang w:val="en-AU"/>
              </w:rPr>
              <w:t xml:space="preserve">Field Testing </w:t>
            </w:r>
            <w:r w:rsidR="00A82B68" w:rsidRPr="00B74C64">
              <w:rPr>
                <w:lang w:val="en-AU"/>
              </w:rPr>
              <w:t>(I</w:t>
            </w:r>
            <w:r w:rsidRPr="00B74C64">
              <w:rPr>
                <w:lang w:val="en-AU"/>
              </w:rPr>
              <w:t xml:space="preserve">nitial </w:t>
            </w:r>
            <w:r w:rsidR="00A82B68" w:rsidRPr="00B74C64">
              <w:rPr>
                <w:lang w:val="en-AU"/>
              </w:rPr>
              <w:t>O</w:t>
            </w:r>
            <w:r w:rsidRPr="00B74C64">
              <w:rPr>
                <w:lang w:val="en-AU"/>
              </w:rPr>
              <w:t xml:space="preserve">perating </w:t>
            </w:r>
            <w:r w:rsidR="00A82B68" w:rsidRPr="00B74C64">
              <w:rPr>
                <w:lang w:val="en-AU"/>
              </w:rPr>
              <w:t>C</w:t>
            </w:r>
            <w:r w:rsidRPr="00B74C64">
              <w:rPr>
                <w:lang w:val="en-AU"/>
              </w:rPr>
              <w:t>apability - IOC</w:t>
            </w:r>
            <w:r w:rsidR="00A82B68" w:rsidRPr="00B74C64">
              <w:rPr>
                <w:lang w:val="en-AU"/>
              </w:rPr>
              <w:t>)</w:t>
            </w:r>
            <w:r w:rsidR="005B3D7A">
              <w:rPr>
                <w:lang w:val="en-AU"/>
              </w:rPr>
              <w:t xml:space="preserve">, Health Product Support Testing </w:t>
            </w:r>
            <w:r w:rsidR="00CA3262" w:rsidRPr="00B74C64">
              <w:rPr>
                <w:lang w:val="en-AU"/>
              </w:rPr>
              <w:t>&amp;</w:t>
            </w:r>
            <w:r w:rsidR="00CA3262">
              <w:rPr>
                <w:lang w:val="en-AU"/>
              </w:rPr>
              <w:t xml:space="preserve"> </w:t>
            </w:r>
            <w:r w:rsidR="005B3D7A">
              <w:rPr>
                <w:lang w:val="en-AU"/>
              </w:rPr>
              <w:t xml:space="preserve">VIP </w:t>
            </w:r>
            <w:r w:rsidR="00CA3262">
              <w:rPr>
                <w:lang w:val="en-AU"/>
              </w:rPr>
              <w:t xml:space="preserve">Release </w:t>
            </w:r>
            <w:r w:rsidR="00724D3C">
              <w:rPr>
                <w:lang w:val="en-AU"/>
              </w:rPr>
              <w:t>Agent Approval</w:t>
            </w:r>
            <w:r w:rsidR="005B3D7A">
              <w:rPr>
                <w:lang w:val="en-AU"/>
              </w:rPr>
              <w:t xml:space="preserve"> </w:t>
            </w:r>
          </w:p>
        </w:tc>
        <w:tc>
          <w:tcPr>
            <w:tcW w:w="743" w:type="pct"/>
            <w:vAlign w:val="center"/>
          </w:tcPr>
          <w:p w14:paraId="7454E806"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78561CEC" w14:textId="77777777" w:rsidR="00F07689" w:rsidRPr="00F07689" w:rsidRDefault="00F07689" w:rsidP="009B480C">
            <w:pPr>
              <w:pStyle w:val="TableText"/>
              <w:rPr>
                <w:lang w:val="en-AU"/>
              </w:rPr>
            </w:pPr>
            <w:r w:rsidRPr="00F07689">
              <w:rPr>
                <w:szCs w:val="22"/>
                <w:lang w:val="en-AU"/>
              </w:rPr>
              <w:t xml:space="preserve">Test for </w:t>
            </w:r>
            <w:r w:rsidRPr="0061401D">
              <w:rPr>
                <w:szCs w:val="22"/>
                <w:lang w:val="en-AU"/>
              </w:rPr>
              <w:t>operational readiness</w:t>
            </w:r>
            <w:r w:rsidRPr="00F07689">
              <w:rPr>
                <w:szCs w:val="22"/>
                <w:lang w:val="en-AU"/>
              </w:rPr>
              <w:t xml:space="preserve"> </w:t>
            </w:r>
          </w:p>
        </w:tc>
        <w:tc>
          <w:tcPr>
            <w:tcW w:w="743" w:type="pct"/>
            <w:vAlign w:val="center"/>
          </w:tcPr>
          <w:p w14:paraId="1AA0758F" w14:textId="77777777" w:rsidR="00F07689" w:rsidRPr="00F07689" w:rsidRDefault="00726ED6" w:rsidP="009B480C">
            <w:pPr>
              <w:pStyle w:val="TableText"/>
              <w:rPr>
                <w:lang w:val="en-AU"/>
              </w:rPr>
            </w:pPr>
            <w:r>
              <w:rPr>
                <w:lang w:val="en-AU"/>
              </w:rPr>
              <w:t>Testing</w:t>
            </w:r>
          </w:p>
        </w:tc>
      </w:tr>
      <w:tr w:rsidR="00F07689" w:rsidRPr="00F07689" w14:paraId="3619932A" w14:textId="77777777" w:rsidTr="00BB7924">
        <w:trPr>
          <w:cantSplit/>
        </w:trPr>
        <w:tc>
          <w:tcPr>
            <w:tcW w:w="284" w:type="pct"/>
            <w:vAlign w:val="center"/>
          </w:tcPr>
          <w:p w14:paraId="32F967EC" w14:textId="77777777" w:rsidR="00F07689" w:rsidRPr="00F07689" w:rsidRDefault="00726ED6" w:rsidP="009B480C">
            <w:pPr>
              <w:pStyle w:val="TableText"/>
              <w:rPr>
                <w:lang w:val="en-AU"/>
              </w:rPr>
            </w:pPr>
            <w:r>
              <w:rPr>
                <w:lang w:val="en-AU"/>
              </w:rPr>
              <w:t>4</w:t>
            </w:r>
          </w:p>
        </w:tc>
        <w:tc>
          <w:tcPr>
            <w:tcW w:w="1432" w:type="pct"/>
            <w:vAlign w:val="center"/>
          </w:tcPr>
          <w:p w14:paraId="2514A007" w14:textId="77777777" w:rsidR="00F07689" w:rsidRPr="00F07689" w:rsidRDefault="005B3D7A" w:rsidP="009B480C">
            <w:pPr>
              <w:pStyle w:val="TableText"/>
              <w:rPr>
                <w:lang w:val="en-AU"/>
              </w:rPr>
            </w:pPr>
            <w:r>
              <w:rPr>
                <w:lang w:val="en-AU"/>
              </w:rPr>
              <w:t>Health product Support and Field Operations</w:t>
            </w:r>
          </w:p>
        </w:tc>
        <w:tc>
          <w:tcPr>
            <w:tcW w:w="743" w:type="pct"/>
            <w:vAlign w:val="center"/>
          </w:tcPr>
          <w:p w14:paraId="234BF779" w14:textId="77777777" w:rsidR="00F07689" w:rsidRPr="00F07689" w:rsidRDefault="00F07689" w:rsidP="009B480C">
            <w:pPr>
              <w:pStyle w:val="TableText"/>
              <w:rPr>
                <w:lang w:val="en-AU"/>
              </w:rPr>
            </w:pPr>
            <w:r w:rsidRPr="00F07689">
              <w:rPr>
                <w:szCs w:val="22"/>
                <w:lang w:val="en-AU"/>
              </w:rPr>
              <w:t>Deployment</w:t>
            </w:r>
          </w:p>
        </w:tc>
        <w:tc>
          <w:tcPr>
            <w:tcW w:w="1798" w:type="pct"/>
            <w:vAlign w:val="center"/>
          </w:tcPr>
          <w:p w14:paraId="3461A903" w14:textId="77777777" w:rsidR="00F07689" w:rsidRPr="00F07689" w:rsidRDefault="00F07689" w:rsidP="009B480C">
            <w:pPr>
              <w:pStyle w:val="TableText"/>
              <w:rPr>
                <w:lang w:val="en-AU"/>
              </w:rPr>
            </w:pPr>
            <w:r w:rsidRPr="00F07689">
              <w:rPr>
                <w:szCs w:val="22"/>
                <w:lang w:val="en-AU"/>
              </w:rPr>
              <w:t>Execute deployment</w:t>
            </w:r>
          </w:p>
        </w:tc>
        <w:tc>
          <w:tcPr>
            <w:tcW w:w="743" w:type="pct"/>
            <w:vAlign w:val="center"/>
          </w:tcPr>
          <w:p w14:paraId="219D9994" w14:textId="77777777" w:rsidR="00F07689" w:rsidRPr="00F07689" w:rsidRDefault="00726ED6" w:rsidP="009B480C">
            <w:pPr>
              <w:pStyle w:val="TableText"/>
              <w:rPr>
                <w:lang w:val="en-AU"/>
              </w:rPr>
            </w:pPr>
            <w:r>
              <w:rPr>
                <w:lang w:val="en-AU"/>
              </w:rPr>
              <w:t>Deployment</w:t>
            </w:r>
          </w:p>
        </w:tc>
      </w:tr>
      <w:tr w:rsidR="00F07689" w:rsidRPr="00F07689" w14:paraId="0FE1AFED" w14:textId="77777777" w:rsidTr="00BB7924">
        <w:trPr>
          <w:cantSplit/>
        </w:trPr>
        <w:tc>
          <w:tcPr>
            <w:tcW w:w="284" w:type="pct"/>
            <w:vAlign w:val="center"/>
          </w:tcPr>
          <w:p w14:paraId="0E2F8847" w14:textId="77777777" w:rsidR="00F07689" w:rsidRPr="00F07689" w:rsidRDefault="00726ED6" w:rsidP="009B480C">
            <w:pPr>
              <w:pStyle w:val="TableText"/>
              <w:rPr>
                <w:lang w:val="en-AU"/>
              </w:rPr>
            </w:pPr>
            <w:r>
              <w:rPr>
                <w:lang w:val="en-AU"/>
              </w:rPr>
              <w:t>5</w:t>
            </w:r>
          </w:p>
        </w:tc>
        <w:tc>
          <w:tcPr>
            <w:tcW w:w="1432" w:type="pct"/>
            <w:vAlign w:val="center"/>
          </w:tcPr>
          <w:p w14:paraId="508BD359" w14:textId="77777777" w:rsidR="00F07689" w:rsidRPr="00F07689" w:rsidRDefault="00A82B68" w:rsidP="009B480C">
            <w:pPr>
              <w:pStyle w:val="TableText"/>
              <w:rPr>
                <w:lang w:val="en-AU"/>
              </w:rPr>
            </w:pPr>
            <w:r>
              <w:rPr>
                <w:lang w:val="en-AU"/>
              </w:rPr>
              <w:t>Individual Veterans Administration Medical Centers</w:t>
            </w:r>
            <w:r w:rsidR="00A367B9">
              <w:rPr>
                <w:lang w:val="en-AU"/>
              </w:rPr>
              <w:t xml:space="preserve"> (VAMCs)</w:t>
            </w:r>
          </w:p>
        </w:tc>
        <w:tc>
          <w:tcPr>
            <w:tcW w:w="743" w:type="pct"/>
            <w:vAlign w:val="center"/>
          </w:tcPr>
          <w:p w14:paraId="1F37E915"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3EF585BF" w14:textId="77777777" w:rsidR="00F07689" w:rsidRPr="00F07689" w:rsidRDefault="00F07689" w:rsidP="009B480C">
            <w:pPr>
              <w:pStyle w:val="TableText"/>
              <w:rPr>
                <w:lang w:val="en-AU"/>
              </w:rPr>
            </w:pPr>
            <w:r w:rsidRPr="00F07689">
              <w:rPr>
                <w:szCs w:val="22"/>
                <w:lang w:val="en-AU"/>
              </w:rPr>
              <w:t xml:space="preserve">Plan and schedule installation </w:t>
            </w:r>
          </w:p>
        </w:tc>
        <w:tc>
          <w:tcPr>
            <w:tcW w:w="743" w:type="pct"/>
            <w:vAlign w:val="center"/>
          </w:tcPr>
          <w:p w14:paraId="6C18D649" w14:textId="77777777" w:rsidR="00F07689" w:rsidRPr="00F07689" w:rsidRDefault="00726ED6" w:rsidP="009B480C">
            <w:pPr>
              <w:pStyle w:val="TableText"/>
              <w:rPr>
                <w:lang w:val="en-AU"/>
              </w:rPr>
            </w:pPr>
            <w:r>
              <w:rPr>
                <w:lang w:val="en-AU"/>
              </w:rPr>
              <w:t>Deployment</w:t>
            </w:r>
          </w:p>
        </w:tc>
      </w:tr>
      <w:tr w:rsidR="00F07689" w:rsidRPr="00F07689" w14:paraId="42A2ADB1" w14:textId="77777777" w:rsidTr="00BB7924">
        <w:trPr>
          <w:cantSplit/>
        </w:trPr>
        <w:tc>
          <w:tcPr>
            <w:tcW w:w="284" w:type="pct"/>
            <w:vAlign w:val="center"/>
          </w:tcPr>
          <w:p w14:paraId="6026BEE2" w14:textId="77777777" w:rsidR="00F07689" w:rsidRPr="00F07689" w:rsidRDefault="00726ED6" w:rsidP="009B480C">
            <w:pPr>
              <w:pStyle w:val="TableText"/>
              <w:rPr>
                <w:lang w:val="en-AU"/>
              </w:rPr>
            </w:pPr>
            <w:r>
              <w:rPr>
                <w:lang w:val="en-AU"/>
              </w:rPr>
              <w:lastRenderedPageBreak/>
              <w:t>6</w:t>
            </w:r>
          </w:p>
        </w:tc>
        <w:tc>
          <w:tcPr>
            <w:tcW w:w="1432" w:type="pct"/>
            <w:vAlign w:val="center"/>
          </w:tcPr>
          <w:p w14:paraId="4975CF40" w14:textId="77777777" w:rsidR="00F07689" w:rsidRPr="00F07689" w:rsidRDefault="005B3D7A" w:rsidP="009B480C">
            <w:pPr>
              <w:pStyle w:val="TableText"/>
              <w:rPr>
                <w:lang w:val="en-AU"/>
              </w:rPr>
            </w:pPr>
            <w:r>
              <w:rPr>
                <w:lang w:val="en-AU"/>
              </w:rPr>
              <w:t xml:space="preserve"> VIP Release Agent</w:t>
            </w:r>
          </w:p>
        </w:tc>
        <w:tc>
          <w:tcPr>
            <w:tcW w:w="743" w:type="pct"/>
            <w:vAlign w:val="center"/>
          </w:tcPr>
          <w:p w14:paraId="479C9A59"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5DDA28D7" w14:textId="77777777" w:rsidR="00F07689" w:rsidRPr="00F07689" w:rsidRDefault="00F07689" w:rsidP="009B480C">
            <w:pPr>
              <w:pStyle w:val="TableText"/>
              <w:rPr>
                <w:lang w:val="en-AU"/>
              </w:rPr>
            </w:pPr>
            <w:r w:rsidRPr="00F07689">
              <w:rPr>
                <w:szCs w:val="22"/>
                <w:lang w:val="en-AU"/>
              </w:rPr>
              <w:t>Ensure authority to operate and that certificate authority security documentation is in place</w:t>
            </w:r>
          </w:p>
        </w:tc>
        <w:tc>
          <w:tcPr>
            <w:tcW w:w="743" w:type="pct"/>
            <w:vAlign w:val="center"/>
          </w:tcPr>
          <w:p w14:paraId="155D9826" w14:textId="77777777" w:rsidR="00F07689" w:rsidRPr="00F07689" w:rsidRDefault="00726ED6" w:rsidP="009B480C">
            <w:pPr>
              <w:pStyle w:val="TableText"/>
              <w:rPr>
                <w:lang w:val="en-AU"/>
              </w:rPr>
            </w:pPr>
            <w:r>
              <w:rPr>
                <w:lang w:val="en-AU"/>
              </w:rPr>
              <w:t>Deployment</w:t>
            </w:r>
          </w:p>
        </w:tc>
      </w:tr>
      <w:tr w:rsidR="00F07689" w:rsidRPr="00F07689" w14:paraId="2EA75D1B" w14:textId="77777777" w:rsidTr="00BB7924">
        <w:trPr>
          <w:cantSplit/>
        </w:trPr>
        <w:tc>
          <w:tcPr>
            <w:tcW w:w="284" w:type="pct"/>
            <w:vAlign w:val="center"/>
          </w:tcPr>
          <w:p w14:paraId="75EE2881" w14:textId="77777777" w:rsidR="00F07689" w:rsidRPr="00F07689" w:rsidRDefault="00726ED6" w:rsidP="009B480C">
            <w:pPr>
              <w:pStyle w:val="TableText"/>
              <w:rPr>
                <w:lang w:val="en-AU"/>
              </w:rPr>
            </w:pPr>
            <w:r>
              <w:rPr>
                <w:lang w:val="en-AU"/>
              </w:rPr>
              <w:t>7</w:t>
            </w:r>
          </w:p>
        </w:tc>
        <w:tc>
          <w:tcPr>
            <w:tcW w:w="1432" w:type="pct"/>
            <w:vAlign w:val="center"/>
          </w:tcPr>
          <w:p w14:paraId="4C94C876" w14:textId="77777777" w:rsidR="00F07689" w:rsidRPr="00F07689" w:rsidRDefault="00A82B68" w:rsidP="009B480C">
            <w:pPr>
              <w:pStyle w:val="TableText"/>
              <w:rPr>
                <w:lang w:val="en-AU"/>
              </w:rPr>
            </w:pPr>
            <w:r>
              <w:rPr>
                <w:lang w:val="en-AU"/>
              </w:rPr>
              <w:t>N/A for this patch as we are using only the existing VistA system</w:t>
            </w:r>
          </w:p>
        </w:tc>
        <w:tc>
          <w:tcPr>
            <w:tcW w:w="743" w:type="pct"/>
            <w:vAlign w:val="center"/>
          </w:tcPr>
          <w:p w14:paraId="02DB2A6B" w14:textId="77777777" w:rsidR="00F07689" w:rsidRPr="00F07689" w:rsidRDefault="00F07689" w:rsidP="009B480C">
            <w:pPr>
              <w:pStyle w:val="TableText"/>
              <w:rPr>
                <w:lang w:val="en-AU"/>
              </w:rPr>
            </w:pPr>
            <w:r w:rsidRPr="00F07689">
              <w:rPr>
                <w:szCs w:val="22"/>
                <w:lang w:val="en-AU"/>
              </w:rPr>
              <w:t>Installation</w:t>
            </w:r>
          </w:p>
        </w:tc>
        <w:tc>
          <w:tcPr>
            <w:tcW w:w="1798" w:type="pct"/>
            <w:vAlign w:val="center"/>
          </w:tcPr>
          <w:p w14:paraId="2CF6EC4A" w14:textId="77777777" w:rsidR="00F07689" w:rsidRPr="00F07689" w:rsidRDefault="00F07689" w:rsidP="009B480C">
            <w:pPr>
              <w:pStyle w:val="TableText"/>
              <w:rPr>
                <w:lang w:val="en-AU"/>
              </w:rPr>
            </w:pPr>
            <w:r w:rsidRPr="00F07689">
              <w:rPr>
                <w:szCs w:val="22"/>
                <w:lang w:val="en-AU"/>
              </w:rPr>
              <w:t>Validate through facility POC to ensure that IT equipment has been accepted using asset inventory processes</w:t>
            </w:r>
          </w:p>
        </w:tc>
        <w:tc>
          <w:tcPr>
            <w:tcW w:w="743" w:type="pct"/>
            <w:vAlign w:val="center"/>
          </w:tcPr>
          <w:p w14:paraId="17D3AD2D" w14:textId="77777777" w:rsidR="00F07689" w:rsidRPr="00F07689" w:rsidRDefault="00F07689" w:rsidP="009B480C">
            <w:pPr>
              <w:pStyle w:val="TableText"/>
              <w:rPr>
                <w:lang w:val="en-AU"/>
              </w:rPr>
            </w:pPr>
          </w:p>
        </w:tc>
      </w:tr>
      <w:tr w:rsidR="00F07689" w:rsidRPr="00F07689" w14:paraId="7A5AEC89" w14:textId="77777777" w:rsidTr="00BB7924">
        <w:trPr>
          <w:cantSplit/>
        </w:trPr>
        <w:tc>
          <w:tcPr>
            <w:tcW w:w="284" w:type="pct"/>
            <w:vAlign w:val="center"/>
          </w:tcPr>
          <w:p w14:paraId="65ABB2C4" w14:textId="77777777" w:rsidR="00F07689" w:rsidRPr="00F07689" w:rsidRDefault="00726ED6" w:rsidP="009B480C">
            <w:pPr>
              <w:pStyle w:val="TableText"/>
              <w:rPr>
                <w:lang w:val="en-AU"/>
              </w:rPr>
            </w:pPr>
            <w:r>
              <w:rPr>
                <w:lang w:val="en-AU"/>
              </w:rPr>
              <w:t>8</w:t>
            </w:r>
          </w:p>
        </w:tc>
        <w:tc>
          <w:tcPr>
            <w:tcW w:w="1432" w:type="pct"/>
            <w:vAlign w:val="center"/>
          </w:tcPr>
          <w:p w14:paraId="06F600DE" w14:textId="77777777" w:rsidR="00F07689" w:rsidRPr="00F07689" w:rsidDel="00004DBA" w:rsidRDefault="00A82B68" w:rsidP="009B480C">
            <w:pPr>
              <w:pStyle w:val="TableText"/>
              <w:rPr>
                <w:lang w:val="en-AU"/>
              </w:rPr>
            </w:pPr>
            <w:r>
              <w:rPr>
                <w:lang w:val="en-AU"/>
              </w:rPr>
              <w:t>VA’s eBusiness team</w:t>
            </w:r>
          </w:p>
        </w:tc>
        <w:tc>
          <w:tcPr>
            <w:tcW w:w="743" w:type="pct"/>
            <w:vAlign w:val="center"/>
          </w:tcPr>
          <w:p w14:paraId="268BFB33" w14:textId="77777777" w:rsidR="00F07689" w:rsidRPr="00F07689" w:rsidRDefault="00F07689" w:rsidP="009B480C">
            <w:pPr>
              <w:pStyle w:val="TableText"/>
              <w:rPr>
                <w:lang w:val="en-AU"/>
              </w:rPr>
            </w:pPr>
            <w:r w:rsidRPr="00F07689">
              <w:rPr>
                <w:szCs w:val="22"/>
                <w:lang w:val="en-AU"/>
              </w:rPr>
              <w:t>Installations</w:t>
            </w:r>
          </w:p>
        </w:tc>
        <w:tc>
          <w:tcPr>
            <w:tcW w:w="1798" w:type="pct"/>
            <w:vAlign w:val="center"/>
          </w:tcPr>
          <w:p w14:paraId="63308FFE" w14:textId="77777777" w:rsidR="00F07689" w:rsidRPr="00F07689" w:rsidRDefault="00F07689" w:rsidP="009B480C">
            <w:pPr>
              <w:pStyle w:val="TableText"/>
              <w:rPr>
                <w:lang w:val="en-AU"/>
              </w:rPr>
            </w:pPr>
            <w:r w:rsidRPr="00F07689">
              <w:rPr>
                <w:szCs w:val="22"/>
                <w:lang w:val="en-AU"/>
              </w:rPr>
              <w:t xml:space="preserve">Coordinate training </w:t>
            </w:r>
          </w:p>
        </w:tc>
        <w:tc>
          <w:tcPr>
            <w:tcW w:w="743" w:type="pct"/>
            <w:vAlign w:val="center"/>
          </w:tcPr>
          <w:p w14:paraId="5910F384" w14:textId="77777777" w:rsidR="00F07689" w:rsidRPr="00F07689" w:rsidRDefault="00726ED6" w:rsidP="009B480C">
            <w:pPr>
              <w:pStyle w:val="TableText"/>
              <w:rPr>
                <w:lang w:val="en-AU"/>
              </w:rPr>
            </w:pPr>
            <w:r>
              <w:rPr>
                <w:lang w:val="en-AU"/>
              </w:rPr>
              <w:t>Deployment</w:t>
            </w:r>
          </w:p>
        </w:tc>
      </w:tr>
      <w:tr w:rsidR="00F61A80" w:rsidRPr="00F07689" w14:paraId="3B5D3BCB" w14:textId="77777777" w:rsidTr="00BB7924">
        <w:trPr>
          <w:cantSplit/>
        </w:trPr>
        <w:tc>
          <w:tcPr>
            <w:tcW w:w="284" w:type="pct"/>
            <w:vAlign w:val="center"/>
          </w:tcPr>
          <w:p w14:paraId="0D313EF4" w14:textId="77777777" w:rsidR="00F61A80" w:rsidRPr="00F07689" w:rsidRDefault="00726ED6" w:rsidP="009B480C">
            <w:pPr>
              <w:pStyle w:val="TableText"/>
              <w:rPr>
                <w:lang w:val="en-AU"/>
              </w:rPr>
            </w:pPr>
            <w:r>
              <w:rPr>
                <w:lang w:val="en-AU"/>
              </w:rPr>
              <w:t>9</w:t>
            </w:r>
          </w:p>
        </w:tc>
        <w:tc>
          <w:tcPr>
            <w:tcW w:w="1432" w:type="pct"/>
            <w:vAlign w:val="center"/>
          </w:tcPr>
          <w:p w14:paraId="3548E1CB" w14:textId="77777777" w:rsidR="00F61A80" w:rsidRPr="00F07689" w:rsidDel="00F61A80" w:rsidRDefault="005B3D7A" w:rsidP="009B480C">
            <w:pPr>
              <w:pStyle w:val="TableText"/>
              <w:rPr>
                <w:szCs w:val="22"/>
                <w:lang w:val="en-AU"/>
              </w:rPr>
            </w:pPr>
            <w:r>
              <w:rPr>
                <w:szCs w:val="22"/>
                <w:lang w:val="en-AU"/>
              </w:rPr>
              <w:t>VIP release Agent, Health Product Support</w:t>
            </w:r>
            <w:r w:rsidR="00DE11B2">
              <w:rPr>
                <w:szCs w:val="22"/>
                <w:lang w:val="en-AU"/>
              </w:rPr>
              <w:t xml:space="preserve"> </w:t>
            </w:r>
            <w:r w:rsidR="00C1097E">
              <w:rPr>
                <w:szCs w:val="22"/>
                <w:lang w:val="en-AU"/>
              </w:rPr>
              <w:t xml:space="preserve">&amp; </w:t>
            </w:r>
            <w:r w:rsidR="00C1097E" w:rsidRPr="00C1097E">
              <w:rPr>
                <w:szCs w:val="22"/>
                <w:lang w:val="en-AU"/>
              </w:rPr>
              <w:t xml:space="preserve">the </w:t>
            </w:r>
            <w:r w:rsidR="00DE11B2" w:rsidRPr="00C1097E">
              <w:rPr>
                <w:szCs w:val="22"/>
                <w:lang w:val="en-AU"/>
              </w:rPr>
              <w:t>dev</w:t>
            </w:r>
            <w:r w:rsidR="004501E8" w:rsidRPr="00C1097E">
              <w:rPr>
                <w:szCs w:val="22"/>
                <w:lang w:val="en-AU"/>
              </w:rPr>
              <w:t>elopment</w:t>
            </w:r>
            <w:r w:rsidR="00DE11B2" w:rsidRPr="00C1097E">
              <w:rPr>
                <w:szCs w:val="22"/>
                <w:lang w:val="en-AU"/>
              </w:rPr>
              <w:t xml:space="preserve"> team</w:t>
            </w:r>
          </w:p>
        </w:tc>
        <w:tc>
          <w:tcPr>
            <w:tcW w:w="743" w:type="pct"/>
            <w:vAlign w:val="center"/>
          </w:tcPr>
          <w:p w14:paraId="480B09B4" w14:textId="77777777" w:rsidR="00F61A80" w:rsidRPr="00F07689" w:rsidRDefault="0061708A" w:rsidP="009B480C">
            <w:pPr>
              <w:pStyle w:val="TableText"/>
              <w:rPr>
                <w:szCs w:val="22"/>
                <w:lang w:val="en-AU"/>
              </w:rPr>
            </w:pPr>
            <w:r>
              <w:rPr>
                <w:szCs w:val="22"/>
                <w:lang w:val="en-AU"/>
              </w:rPr>
              <w:t>Back-out</w:t>
            </w:r>
          </w:p>
        </w:tc>
        <w:tc>
          <w:tcPr>
            <w:tcW w:w="1798" w:type="pct"/>
            <w:vAlign w:val="center"/>
          </w:tcPr>
          <w:p w14:paraId="6A8019E0" w14:textId="77777777" w:rsidR="00F61A80" w:rsidRPr="00F07689" w:rsidRDefault="00236972" w:rsidP="009B480C">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743" w:type="pct"/>
            <w:vAlign w:val="center"/>
          </w:tcPr>
          <w:p w14:paraId="4F6D9E42" w14:textId="77777777" w:rsidR="00F61A80" w:rsidRPr="00F07689" w:rsidRDefault="00726ED6" w:rsidP="009B480C">
            <w:pPr>
              <w:pStyle w:val="TableText"/>
              <w:rPr>
                <w:lang w:val="en-AU"/>
              </w:rPr>
            </w:pPr>
            <w:r>
              <w:rPr>
                <w:lang w:val="en-AU"/>
              </w:rPr>
              <w:t>Deployment</w:t>
            </w:r>
          </w:p>
        </w:tc>
      </w:tr>
      <w:tr w:rsidR="00F61A80" w:rsidRPr="00F07689" w14:paraId="64FB8583" w14:textId="77777777" w:rsidTr="00BB7924">
        <w:trPr>
          <w:cantSplit/>
        </w:trPr>
        <w:tc>
          <w:tcPr>
            <w:tcW w:w="284" w:type="pct"/>
            <w:vAlign w:val="center"/>
          </w:tcPr>
          <w:p w14:paraId="02CBB138" w14:textId="77777777" w:rsidR="00F61A80" w:rsidRPr="00F07689" w:rsidRDefault="00726ED6" w:rsidP="009B480C">
            <w:pPr>
              <w:pStyle w:val="TableText"/>
              <w:rPr>
                <w:lang w:val="en-AU"/>
              </w:rPr>
            </w:pPr>
            <w:r>
              <w:rPr>
                <w:lang w:val="en-AU"/>
              </w:rPr>
              <w:t>10</w:t>
            </w:r>
          </w:p>
        </w:tc>
        <w:tc>
          <w:tcPr>
            <w:tcW w:w="1432" w:type="pct"/>
            <w:vAlign w:val="center"/>
          </w:tcPr>
          <w:p w14:paraId="5B5A55FB" w14:textId="77777777" w:rsidR="00F61A80" w:rsidRPr="00F07689" w:rsidDel="00F61A80" w:rsidRDefault="00A82B68" w:rsidP="009B480C">
            <w:pPr>
              <w:pStyle w:val="TableText"/>
              <w:rPr>
                <w:szCs w:val="22"/>
                <w:lang w:val="en-AU"/>
              </w:rPr>
            </w:pPr>
            <w:r>
              <w:rPr>
                <w:szCs w:val="22"/>
                <w:lang w:val="en-AU"/>
              </w:rPr>
              <w:t>No changes to current process – we are using the existing VistA system</w:t>
            </w:r>
          </w:p>
        </w:tc>
        <w:tc>
          <w:tcPr>
            <w:tcW w:w="743" w:type="pct"/>
            <w:vAlign w:val="center"/>
          </w:tcPr>
          <w:p w14:paraId="33A17792" w14:textId="77777777" w:rsidR="00F61A80" w:rsidRPr="00F07689" w:rsidRDefault="004D68E8" w:rsidP="009B480C">
            <w:pPr>
              <w:pStyle w:val="TableText"/>
              <w:rPr>
                <w:szCs w:val="22"/>
                <w:lang w:val="en-AU"/>
              </w:rPr>
            </w:pPr>
            <w:r>
              <w:rPr>
                <w:szCs w:val="22"/>
                <w:lang w:val="en-AU"/>
              </w:rPr>
              <w:t>Post Deployment</w:t>
            </w:r>
          </w:p>
        </w:tc>
        <w:tc>
          <w:tcPr>
            <w:tcW w:w="1798" w:type="pct"/>
            <w:vAlign w:val="center"/>
          </w:tcPr>
          <w:p w14:paraId="5474F068" w14:textId="77777777" w:rsidR="00F61A80" w:rsidRPr="00F07689" w:rsidRDefault="004D68E8" w:rsidP="009B480C">
            <w:pPr>
              <w:pStyle w:val="TableText"/>
              <w:rPr>
                <w:szCs w:val="22"/>
                <w:lang w:val="en-AU"/>
              </w:rPr>
            </w:pPr>
            <w:r>
              <w:rPr>
                <w:szCs w:val="22"/>
                <w:lang w:val="en-AU"/>
              </w:rPr>
              <w:t>Hardware, Software and System Support</w:t>
            </w:r>
          </w:p>
        </w:tc>
        <w:tc>
          <w:tcPr>
            <w:tcW w:w="743" w:type="pct"/>
            <w:vAlign w:val="center"/>
          </w:tcPr>
          <w:p w14:paraId="2537B3DA" w14:textId="77777777" w:rsidR="00F61A80" w:rsidRPr="00F07689" w:rsidRDefault="00726ED6" w:rsidP="009B480C">
            <w:pPr>
              <w:pStyle w:val="TableText"/>
              <w:rPr>
                <w:lang w:val="en-AU"/>
              </w:rPr>
            </w:pPr>
            <w:r>
              <w:rPr>
                <w:lang w:val="en-AU"/>
              </w:rPr>
              <w:t>Warranty</w:t>
            </w:r>
          </w:p>
        </w:tc>
      </w:tr>
    </w:tbl>
    <w:p w14:paraId="203DF232" w14:textId="56BC99C6" w:rsidR="00F07689" w:rsidRPr="00F07689" w:rsidRDefault="005F10A9" w:rsidP="009123D8">
      <w:pPr>
        <w:pStyle w:val="Heading1"/>
      </w:pPr>
      <w:bookmarkStart w:id="29" w:name="_Toc471313651"/>
      <w:bookmarkStart w:id="30" w:name="_Toc471396305"/>
      <w:bookmarkStart w:id="31" w:name="_Toc471401575"/>
      <w:bookmarkStart w:id="32" w:name="_Toc471401743"/>
      <w:bookmarkStart w:id="33" w:name="_Toc421540860"/>
      <w:bookmarkStart w:id="34" w:name="_Toc486338225"/>
      <w:bookmarkEnd w:id="29"/>
      <w:bookmarkEnd w:id="30"/>
      <w:bookmarkEnd w:id="31"/>
      <w:bookmarkEnd w:id="32"/>
      <w:r>
        <w:t>Deployment</w:t>
      </w:r>
      <w:bookmarkEnd w:id="33"/>
      <w:bookmarkEnd w:id="34"/>
    </w:p>
    <w:p w14:paraId="03812875" w14:textId="77777777" w:rsidR="00F07689" w:rsidRPr="00F07689" w:rsidRDefault="00F07689" w:rsidP="00F07689">
      <w:pPr>
        <w:spacing w:before="120" w:after="120"/>
        <w:rPr>
          <w:sz w:val="24"/>
          <w:szCs w:val="20"/>
        </w:rPr>
      </w:pPr>
      <w:r w:rsidRPr="00F07689">
        <w:rPr>
          <w:sz w:val="24"/>
          <w:szCs w:val="20"/>
        </w:rPr>
        <w:t xml:space="preserve">The deployment is planned as a </w:t>
      </w:r>
      <w:r w:rsidR="00A367B9">
        <w:rPr>
          <w:sz w:val="24"/>
          <w:szCs w:val="20"/>
        </w:rPr>
        <w:t xml:space="preserve">national </w:t>
      </w:r>
      <w:r w:rsidRPr="00F07689">
        <w:rPr>
          <w:sz w:val="24"/>
          <w:szCs w:val="20"/>
        </w:rPr>
        <w:t>rollout.</w:t>
      </w:r>
    </w:p>
    <w:p w14:paraId="0CF9BE24" w14:textId="1C64215D" w:rsidR="00F07689" w:rsidRPr="00BB7924" w:rsidRDefault="00F07689" w:rsidP="00F07689">
      <w:pPr>
        <w:spacing w:before="120" w:after="120"/>
        <w:rPr>
          <w:i/>
          <w:iCs/>
          <w:color w:val="000000" w:themeColor="text1"/>
          <w:sz w:val="24"/>
          <w:szCs w:val="20"/>
        </w:rPr>
      </w:pPr>
      <w:r w:rsidRPr="00F07689">
        <w:rPr>
          <w:sz w:val="24"/>
          <w:szCs w:val="20"/>
        </w:rPr>
        <w:t>This section provides the schedule and milestones for the deployment.</w:t>
      </w:r>
    </w:p>
    <w:p w14:paraId="64000FF1" w14:textId="4860BDDB" w:rsidR="00F07689" w:rsidRPr="00F07689" w:rsidRDefault="00F07689" w:rsidP="009123D8">
      <w:pPr>
        <w:pStyle w:val="Heading2"/>
      </w:pPr>
      <w:bookmarkStart w:id="35" w:name="_Toc471312556"/>
      <w:bookmarkStart w:id="36" w:name="_Toc471313658"/>
      <w:bookmarkStart w:id="37" w:name="_Toc471396312"/>
      <w:bookmarkStart w:id="38" w:name="_Toc471401582"/>
      <w:bookmarkStart w:id="39" w:name="_Toc471401750"/>
      <w:bookmarkStart w:id="40" w:name="_Toc421540861"/>
      <w:bookmarkStart w:id="41" w:name="_Toc486338226"/>
      <w:bookmarkEnd w:id="35"/>
      <w:bookmarkEnd w:id="36"/>
      <w:bookmarkEnd w:id="37"/>
      <w:bookmarkEnd w:id="38"/>
      <w:bookmarkEnd w:id="39"/>
      <w:r w:rsidRPr="00F07689">
        <w:t>Timeline</w:t>
      </w:r>
      <w:bookmarkEnd w:id="40"/>
      <w:bookmarkEnd w:id="41"/>
    </w:p>
    <w:p w14:paraId="71707879" w14:textId="1AC81A04" w:rsidR="00F07689" w:rsidRPr="00F07689" w:rsidRDefault="00F07689" w:rsidP="00F07689">
      <w:pPr>
        <w:spacing w:before="120" w:after="120"/>
        <w:rPr>
          <w:sz w:val="24"/>
          <w:szCs w:val="20"/>
        </w:rPr>
      </w:pPr>
      <w:r w:rsidRPr="00F07689">
        <w:rPr>
          <w:sz w:val="24"/>
          <w:szCs w:val="20"/>
        </w:rPr>
        <w:t xml:space="preserve">The </w:t>
      </w:r>
      <w:r w:rsidR="005302FE">
        <w:rPr>
          <w:sz w:val="24"/>
          <w:szCs w:val="20"/>
        </w:rPr>
        <w:t xml:space="preserve">duration of </w:t>
      </w:r>
      <w:r w:rsidR="00565037">
        <w:rPr>
          <w:sz w:val="24"/>
          <w:szCs w:val="20"/>
        </w:rPr>
        <w:t>deployment and installation is</w:t>
      </w:r>
      <w:r w:rsidRPr="00724D3C">
        <w:rPr>
          <w:sz w:val="24"/>
          <w:szCs w:val="20"/>
        </w:rPr>
        <w:t xml:space="preserve"> </w:t>
      </w:r>
      <w:r w:rsidR="00A367B9" w:rsidRPr="00724D3C">
        <w:rPr>
          <w:sz w:val="24"/>
          <w:szCs w:val="20"/>
        </w:rPr>
        <w:t>30 days</w:t>
      </w:r>
      <w:r w:rsidRPr="00724D3C">
        <w:rPr>
          <w:sz w:val="24"/>
          <w:szCs w:val="20"/>
        </w:rPr>
        <w:t>, as depicted in the master deployment schedule</w:t>
      </w:r>
      <w:r w:rsidR="00256482" w:rsidRPr="00724D3C">
        <w:rPr>
          <w:rStyle w:val="FootnoteReference"/>
          <w:sz w:val="24"/>
          <w:szCs w:val="20"/>
        </w:rPr>
        <w:footnoteReference w:id="1"/>
      </w:r>
      <w:r w:rsidR="00256482" w:rsidRPr="00724D3C">
        <w:rPr>
          <w:sz w:val="24"/>
          <w:szCs w:val="20"/>
        </w:rPr>
        <w:t>.</w:t>
      </w:r>
      <w:r w:rsidR="00256482" w:rsidRPr="00724D3C" w:rsidDel="00256482">
        <w:rPr>
          <w:i/>
          <w:iCs/>
          <w:color w:val="0000FF"/>
          <w:sz w:val="24"/>
          <w:szCs w:val="20"/>
        </w:rPr>
        <w:t xml:space="preserve"> </w:t>
      </w:r>
    </w:p>
    <w:p w14:paraId="02CAB7B1" w14:textId="156F9B55" w:rsidR="00F07689" w:rsidRPr="00F07689" w:rsidRDefault="00F07689" w:rsidP="009123D8">
      <w:pPr>
        <w:pStyle w:val="Heading2"/>
      </w:pPr>
      <w:bookmarkStart w:id="42" w:name="_Toc471401584"/>
      <w:bookmarkStart w:id="43" w:name="_Toc471401752"/>
      <w:bookmarkStart w:id="44" w:name="_Toc421540862"/>
      <w:bookmarkStart w:id="45" w:name="_Toc486338227"/>
      <w:bookmarkEnd w:id="42"/>
      <w:bookmarkEnd w:id="43"/>
      <w:r w:rsidRPr="00F07689">
        <w:t>Site Readiness Assessment</w:t>
      </w:r>
      <w:bookmarkEnd w:id="44"/>
      <w:bookmarkEnd w:id="45"/>
    </w:p>
    <w:p w14:paraId="35F5ACFC" w14:textId="502B50EF" w:rsidR="00F07689" w:rsidRPr="00F07689" w:rsidRDefault="00F07689" w:rsidP="00F07689">
      <w:pPr>
        <w:spacing w:before="120" w:after="120"/>
        <w:rPr>
          <w:sz w:val="24"/>
          <w:szCs w:val="20"/>
        </w:rPr>
      </w:pPr>
      <w:r w:rsidRPr="00F07689">
        <w:rPr>
          <w:sz w:val="24"/>
          <w:szCs w:val="20"/>
        </w:rPr>
        <w:t xml:space="preserve">This section discusses the locations that will receive the </w:t>
      </w:r>
      <w:r w:rsidR="00565037">
        <w:rPr>
          <w:sz w:val="24"/>
          <w:szCs w:val="20"/>
        </w:rPr>
        <w:t>IB*2.0*577</w:t>
      </w:r>
      <w:r w:rsidRPr="00F07689">
        <w:rPr>
          <w:sz w:val="24"/>
          <w:szCs w:val="20"/>
        </w:rPr>
        <w:t xml:space="preserve"> deployment. </w:t>
      </w:r>
    </w:p>
    <w:p w14:paraId="2CFA156B" w14:textId="77777777" w:rsidR="00F07689" w:rsidRPr="00F07689" w:rsidRDefault="00F07689" w:rsidP="00AB1954">
      <w:pPr>
        <w:pStyle w:val="Heading3"/>
      </w:pPr>
      <w:bookmarkStart w:id="46" w:name="_Toc421540863"/>
      <w:bookmarkStart w:id="47" w:name="_Toc486338228"/>
      <w:r w:rsidRPr="00F07689">
        <w:t>Deployment Topology (Targeted Architecture)</w:t>
      </w:r>
      <w:bookmarkEnd w:id="46"/>
      <w:bookmarkEnd w:id="47"/>
    </w:p>
    <w:p w14:paraId="11147A7F" w14:textId="3E4E7340" w:rsidR="00A367B9" w:rsidRPr="00F07689" w:rsidRDefault="00A367B9" w:rsidP="00256482">
      <w:r w:rsidRPr="00256482">
        <w:t>Th</w:t>
      </w:r>
      <w:r w:rsidR="00235475">
        <w:t xml:space="preserve">is patch </w:t>
      </w:r>
      <w:r w:rsidR="00565037">
        <w:t>IB*2.0*577</w:t>
      </w:r>
      <w:r>
        <w:t xml:space="preserve"> is to be nationally released to all VAMCs.</w:t>
      </w:r>
    </w:p>
    <w:p w14:paraId="59AC1EB2" w14:textId="77777777" w:rsidR="00F07689" w:rsidRPr="00F07689" w:rsidRDefault="00F07689" w:rsidP="00AB1954">
      <w:pPr>
        <w:pStyle w:val="Heading3"/>
      </w:pPr>
      <w:bookmarkStart w:id="48" w:name="_Toc421540864"/>
      <w:bookmarkStart w:id="49" w:name="_Toc486338229"/>
      <w:r w:rsidRPr="00F07689">
        <w:t>Site Information (Locations, Deployment Recipients)</w:t>
      </w:r>
      <w:bookmarkEnd w:id="48"/>
      <w:bookmarkEnd w:id="49"/>
      <w:r w:rsidRPr="00F07689">
        <w:t xml:space="preserve"> </w:t>
      </w:r>
    </w:p>
    <w:p w14:paraId="3B227439" w14:textId="03AF8256" w:rsidR="003222C8" w:rsidRDefault="00A367B9" w:rsidP="00256482">
      <w:r w:rsidRPr="003222C8">
        <w:t xml:space="preserve">The test sites for IOC testing </w:t>
      </w:r>
      <w:r w:rsidR="003222C8">
        <w:t>are: TBD</w:t>
      </w:r>
    </w:p>
    <w:p w14:paraId="33D17537" w14:textId="5F033634" w:rsidR="00A367B9" w:rsidRDefault="003222C8" w:rsidP="008654DD">
      <w:pPr>
        <w:pStyle w:val="ListParagraph"/>
        <w:numPr>
          <w:ilvl w:val="0"/>
          <w:numId w:val="17"/>
        </w:numPr>
      </w:pPr>
      <w:r w:rsidRPr="003222C8">
        <w:t>Th</w:t>
      </w:r>
      <w:r>
        <w:t>ese sites</w:t>
      </w:r>
      <w:r w:rsidRPr="003222C8">
        <w:t xml:space="preserve"> will not be defined </w:t>
      </w:r>
      <w:r>
        <w:t xml:space="preserve">here </w:t>
      </w:r>
      <w:r w:rsidRPr="003222C8">
        <w:t xml:space="preserve">until the sites have </w:t>
      </w:r>
      <w:r w:rsidR="005302FE">
        <w:t xml:space="preserve">each </w:t>
      </w:r>
      <w:r w:rsidRPr="003222C8">
        <w:t xml:space="preserve">signed </w:t>
      </w:r>
      <w:r w:rsidR="005302FE">
        <w:t>a</w:t>
      </w:r>
      <w:r w:rsidRPr="003222C8">
        <w:t xml:space="preserve"> Memorandum of Understanding (MOU) and testing </w:t>
      </w:r>
      <w:r w:rsidR="005302FE">
        <w:t>is</w:t>
      </w:r>
      <w:r w:rsidRPr="003222C8">
        <w:t xml:space="preserve"> complete</w:t>
      </w:r>
      <w:r w:rsidR="001277E8">
        <w:t>,</w:t>
      </w:r>
      <w:r w:rsidRPr="003222C8">
        <w:t xml:space="preserve"> as sometimes a site </w:t>
      </w:r>
      <w:r w:rsidR="001277E8">
        <w:t>must</w:t>
      </w:r>
      <w:r w:rsidRPr="003222C8">
        <w:t xml:space="preserve"> stop testing prior to the end of IOC.</w:t>
      </w:r>
    </w:p>
    <w:p w14:paraId="058A95E7" w14:textId="77777777" w:rsidR="009B2E03" w:rsidRDefault="009B2E03" w:rsidP="007453E5">
      <w:pPr>
        <w:ind w:left="360"/>
      </w:pPr>
    </w:p>
    <w:p w14:paraId="30A56702" w14:textId="023321C7" w:rsidR="003222C8" w:rsidRPr="0051252D" w:rsidRDefault="0051252D" w:rsidP="00444AFE">
      <w:r>
        <w:t xml:space="preserve">Upon national release all VAMCs are expected to install this patch </w:t>
      </w:r>
      <w:r w:rsidR="005302FE">
        <w:t>prior to or on</w:t>
      </w:r>
      <w:r>
        <w:t xml:space="preserve"> the compliance date.</w:t>
      </w:r>
    </w:p>
    <w:p w14:paraId="546D7205" w14:textId="77777777" w:rsidR="00F07689" w:rsidRPr="00F07689" w:rsidRDefault="00F07689" w:rsidP="00AB1954">
      <w:pPr>
        <w:pStyle w:val="Heading3"/>
      </w:pPr>
      <w:bookmarkStart w:id="50" w:name="_Toc471311905"/>
      <w:bookmarkStart w:id="51" w:name="_Toc471312561"/>
      <w:bookmarkStart w:id="52" w:name="_Toc471313663"/>
      <w:bookmarkStart w:id="53" w:name="_Toc471396317"/>
      <w:bookmarkStart w:id="54" w:name="_Toc471401588"/>
      <w:bookmarkStart w:id="55" w:name="_Toc471401756"/>
      <w:bookmarkStart w:id="56" w:name="_Toc421540865"/>
      <w:bookmarkStart w:id="57" w:name="_Toc486338230"/>
      <w:bookmarkEnd w:id="50"/>
      <w:bookmarkEnd w:id="51"/>
      <w:bookmarkEnd w:id="52"/>
      <w:bookmarkEnd w:id="53"/>
      <w:bookmarkEnd w:id="54"/>
      <w:bookmarkEnd w:id="55"/>
      <w:r w:rsidRPr="00F07689">
        <w:t>Site Preparation</w:t>
      </w:r>
      <w:bookmarkEnd w:id="56"/>
      <w:bookmarkEnd w:id="57"/>
      <w:r w:rsidRPr="00F07689">
        <w:t xml:space="preserve"> </w:t>
      </w:r>
    </w:p>
    <w:p w14:paraId="0ADFD3F9" w14:textId="0D87FC4A" w:rsidR="00824938" w:rsidRPr="00F07689" w:rsidRDefault="00824938" w:rsidP="00824938">
      <w:pPr>
        <w:spacing w:before="120" w:after="120"/>
        <w:rPr>
          <w:sz w:val="24"/>
          <w:szCs w:val="20"/>
        </w:rPr>
      </w:pPr>
      <w:r w:rsidRPr="00F07689">
        <w:rPr>
          <w:sz w:val="24"/>
          <w:szCs w:val="20"/>
        </w:rPr>
        <w:t xml:space="preserve">The following table describes preparation required by the </w:t>
      </w:r>
      <w:r>
        <w:rPr>
          <w:sz w:val="24"/>
          <w:szCs w:val="20"/>
        </w:rPr>
        <w:t xml:space="preserve">“TEST” </w:t>
      </w:r>
      <w:r w:rsidRPr="00F07689">
        <w:rPr>
          <w:sz w:val="24"/>
          <w:szCs w:val="20"/>
        </w:rPr>
        <w:t>site prior to deployment.</w:t>
      </w:r>
    </w:p>
    <w:p w14:paraId="47D3B6D9" w14:textId="34E65024" w:rsidR="00824938" w:rsidRDefault="00824938" w:rsidP="00824938">
      <w:pPr>
        <w:pStyle w:val="Caption"/>
        <w:jc w:val="center"/>
      </w:pPr>
      <w:r>
        <w:t xml:space="preserve">Table </w:t>
      </w:r>
      <w:r w:rsidR="00CB2A6D">
        <w:fldChar w:fldCharType="begin"/>
      </w:r>
      <w:r w:rsidR="00CB2A6D">
        <w:instrText xml:space="preserve"> SEQ Table \* ARABIC </w:instrText>
      </w:r>
      <w:r w:rsidR="00CB2A6D">
        <w:fldChar w:fldCharType="separate"/>
      </w:r>
      <w:r>
        <w:rPr>
          <w:noProof/>
        </w:rPr>
        <w:t>2</w:t>
      </w:r>
      <w:r w:rsidR="00CB2A6D">
        <w:rPr>
          <w:noProof/>
        </w:rPr>
        <w:fldChar w:fldCharType="end"/>
      </w:r>
      <w:r w:rsidRPr="005E0014">
        <w:t xml:space="preserve">: </w:t>
      </w:r>
      <w:r>
        <w:t xml:space="preserve">TEST </w:t>
      </w:r>
      <w:r w:rsidRPr="005E0014">
        <w:t>Site Preparation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824938" w:rsidRPr="00F07689" w14:paraId="4B10CBF8" w14:textId="77777777" w:rsidTr="00824938">
        <w:trPr>
          <w:cantSplit/>
          <w:tblHeader/>
        </w:trPr>
        <w:tc>
          <w:tcPr>
            <w:tcW w:w="831" w:type="pct"/>
            <w:shd w:val="clear" w:color="auto" w:fill="CCCCCC"/>
            <w:vAlign w:val="center"/>
          </w:tcPr>
          <w:p w14:paraId="201A7B70" w14:textId="77777777" w:rsidR="00824938" w:rsidRPr="00F07689" w:rsidRDefault="00824938" w:rsidP="009B480C">
            <w:pPr>
              <w:pStyle w:val="TableHeading"/>
            </w:pPr>
            <w:r w:rsidRPr="00F07689">
              <w:t>Site/Other</w:t>
            </w:r>
          </w:p>
        </w:tc>
        <w:tc>
          <w:tcPr>
            <w:tcW w:w="1105" w:type="pct"/>
            <w:shd w:val="clear" w:color="auto" w:fill="CCCCCC"/>
            <w:vAlign w:val="center"/>
          </w:tcPr>
          <w:p w14:paraId="32FE3654" w14:textId="77777777" w:rsidR="00824938" w:rsidRPr="00F07689" w:rsidRDefault="00824938" w:rsidP="009B480C">
            <w:pPr>
              <w:pStyle w:val="TableHeading"/>
            </w:pPr>
            <w:r w:rsidRPr="00F07689">
              <w:t>Problem/Change Needed</w:t>
            </w:r>
          </w:p>
        </w:tc>
        <w:tc>
          <w:tcPr>
            <w:tcW w:w="1218" w:type="pct"/>
            <w:shd w:val="clear" w:color="auto" w:fill="CCCCCC"/>
            <w:vAlign w:val="center"/>
          </w:tcPr>
          <w:p w14:paraId="5D7708A9" w14:textId="77777777" w:rsidR="00824938" w:rsidRPr="00F07689" w:rsidRDefault="00824938" w:rsidP="009B480C">
            <w:pPr>
              <w:pStyle w:val="TableHeading"/>
            </w:pPr>
            <w:r w:rsidRPr="00F07689">
              <w:t>Features to Adapt/Modify to New Product</w:t>
            </w:r>
          </w:p>
        </w:tc>
        <w:tc>
          <w:tcPr>
            <w:tcW w:w="1054" w:type="pct"/>
            <w:shd w:val="clear" w:color="auto" w:fill="CCCCCC"/>
            <w:vAlign w:val="center"/>
          </w:tcPr>
          <w:p w14:paraId="3A94148F" w14:textId="77777777" w:rsidR="00824938" w:rsidRPr="00F07689" w:rsidRDefault="00824938" w:rsidP="009B480C">
            <w:pPr>
              <w:pStyle w:val="TableHeading"/>
            </w:pPr>
            <w:r w:rsidRPr="00F07689">
              <w:t>Actions/Steps</w:t>
            </w:r>
          </w:p>
        </w:tc>
        <w:tc>
          <w:tcPr>
            <w:tcW w:w="792" w:type="pct"/>
            <w:shd w:val="clear" w:color="auto" w:fill="CCCCCC"/>
            <w:vAlign w:val="center"/>
          </w:tcPr>
          <w:p w14:paraId="5DE591A2" w14:textId="77777777" w:rsidR="00824938" w:rsidRPr="00F07689" w:rsidRDefault="00824938" w:rsidP="009B480C">
            <w:pPr>
              <w:pStyle w:val="TableHeading"/>
            </w:pPr>
            <w:r w:rsidRPr="00F07689">
              <w:t>Owner</w:t>
            </w:r>
          </w:p>
        </w:tc>
      </w:tr>
      <w:tr w:rsidR="00824938" w:rsidRPr="00F07689" w14:paraId="01AEAAFB" w14:textId="77777777" w:rsidTr="00824938">
        <w:trPr>
          <w:cantSplit/>
        </w:trPr>
        <w:tc>
          <w:tcPr>
            <w:tcW w:w="831" w:type="pct"/>
          </w:tcPr>
          <w:p w14:paraId="5E6DB3F2" w14:textId="77777777" w:rsidR="00824938" w:rsidRPr="00F07689" w:rsidRDefault="00824938" w:rsidP="009B480C">
            <w:pPr>
              <w:pStyle w:val="TableText"/>
            </w:pPr>
            <w:r>
              <w:t>N/A</w:t>
            </w:r>
          </w:p>
        </w:tc>
        <w:tc>
          <w:tcPr>
            <w:tcW w:w="1105" w:type="pct"/>
          </w:tcPr>
          <w:p w14:paraId="319D365D" w14:textId="02123CAD" w:rsidR="00824938" w:rsidRPr="00F07689" w:rsidRDefault="00224712" w:rsidP="009B480C">
            <w:pPr>
              <w:pStyle w:val="TableText"/>
            </w:pPr>
            <w:r>
              <w:t>Testers need to obtain access to the Test Environment(s)</w:t>
            </w:r>
          </w:p>
        </w:tc>
        <w:tc>
          <w:tcPr>
            <w:tcW w:w="1218" w:type="pct"/>
          </w:tcPr>
          <w:p w14:paraId="773B5364" w14:textId="77777777" w:rsidR="00824938" w:rsidRPr="00F07689" w:rsidRDefault="00824938" w:rsidP="009B480C">
            <w:pPr>
              <w:pStyle w:val="TableText"/>
            </w:pPr>
            <w:r>
              <w:t>N/A</w:t>
            </w:r>
          </w:p>
        </w:tc>
        <w:tc>
          <w:tcPr>
            <w:tcW w:w="1054" w:type="pct"/>
          </w:tcPr>
          <w:p w14:paraId="39FB19B7" w14:textId="22ADEE74" w:rsidR="00824938" w:rsidRPr="00F07689" w:rsidRDefault="00224712" w:rsidP="009B480C">
            <w:pPr>
              <w:pStyle w:val="TableText"/>
            </w:pPr>
            <w:r>
              <w:t>Grant the assigned testers the necessary access to the Test Environment(s)</w:t>
            </w:r>
          </w:p>
        </w:tc>
        <w:tc>
          <w:tcPr>
            <w:tcW w:w="792" w:type="pct"/>
          </w:tcPr>
          <w:p w14:paraId="71165B04" w14:textId="77777777" w:rsidR="00824938" w:rsidRPr="00F07689" w:rsidRDefault="00824938" w:rsidP="009B480C">
            <w:pPr>
              <w:pStyle w:val="TableText"/>
            </w:pPr>
            <w:r>
              <w:t>N/A</w:t>
            </w:r>
          </w:p>
        </w:tc>
      </w:tr>
    </w:tbl>
    <w:p w14:paraId="00C118C4" w14:textId="77777777" w:rsidR="00824938" w:rsidRDefault="00824938" w:rsidP="00F07689">
      <w:pPr>
        <w:spacing w:before="120" w:after="120"/>
        <w:rPr>
          <w:sz w:val="24"/>
          <w:szCs w:val="20"/>
        </w:rPr>
      </w:pPr>
    </w:p>
    <w:p w14:paraId="05BC0FCC"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25F3978E" w14:textId="0210634E" w:rsidR="00D575F5" w:rsidRDefault="00824938" w:rsidP="00824938">
      <w:pPr>
        <w:pStyle w:val="Caption"/>
        <w:jc w:val="center"/>
      </w:pPr>
      <w:bookmarkStart w:id="58" w:name="_Toc479253800"/>
      <w:r>
        <w:t>Table 3</w:t>
      </w:r>
      <w:r w:rsidR="00D575F5" w:rsidRPr="005E0014">
        <w:t>: Site Preparation</w:t>
      </w:r>
      <w:bookmarkEnd w:id="5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1"/>
        <w:gridCol w:w="2116"/>
        <w:gridCol w:w="2333"/>
        <w:gridCol w:w="2019"/>
        <w:gridCol w:w="1517"/>
      </w:tblGrid>
      <w:tr w:rsidR="00F07689" w:rsidRPr="00F07689" w14:paraId="1A016023" w14:textId="77777777" w:rsidTr="00F07689">
        <w:trPr>
          <w:cantSplit/>
          <w:tblHeader/>
        </w:trPr>
        <w:tc>
          <w:tcPr>
            <w:tcW w:w="831" w:type="pct"/>
            <w:shd w:val="clear" w:color="auto" w:fill="CCCCCC"/>
            <w:vAlign w:val="center"/>
          </w:tcPr>
          <w:p w14:paraId="700D7611" w14:textId="77777777" w:rsidR="00F07689" w:rsidRPr="00F07689" w:rsidRDefault="00F07689" w:rsidP="009B480C">
            <w:pPr>
              <w:pStyle w:val="TableHeading"/>
            </w:pPr>
            <w:bookmarkStart w:id="59" w:name="ColumnTitle_04"/>
            <w:bookmarkEnd w:id="59"/>
            <w:r w:rsidRPr="00F07689">
              <w:t>Site/Other</w:t>
            </w:r>
          </w:p>
        </w:tc>
        <w:tc>
          <w:tcPr>
            <w:tcW w:w="1105" w:type="pct"/>
            <w:shd w:val="clear" w:color="auto" w:fill="CCCCCC"/>
            <w:vAlign w:val="center"/>
          </w:tcPr>
          <w:p w14:paraId="4F774EBB" w14:textId="77777777" w:rsidR="00F07689" w:rsidRPr="00F07689" w:rsidRDefault="00F07689" w:rsidP="009B480C">
            <w:pPr>
              <w:pStyle w:val="TableHeading"/>
            </w:pPr>
            <w:r w:rsidRPr="00F07689">
              <w:t>Problem/Change Needed</w:t>
            </w:r>
          </w:p>
        </w:tc>
        <w:tc>
          <w:tcPr>
            <w:tcW w:w="1218" w:type="pct"/>
            <w:shd w:val="clear" w:color="auto" w:fill="CCCCCC"/>
            <w:vAlign w:val="center"/>
          </w:tcPr>
          <w:p w14:paraId="2F142CC8" w14:textId="77777777" w:rsidR="00F07689" w:rsidRPr="00F07689" w:rsidRDefault="00F07689" w:rsidP="009B480C">
            <w:pPr>
              <w:pStyle w:val="TableHeading"/>
            </w:pPr>
            <w:r w:rsidRPr="00F07689">
              <w:t>Features to Adapt/Modify to New Product</w:t>
            </w:r>
          </w:p>
        </w:tc>
        <w:tc>
          <w:tcPr>
            <w:tcW w:w="1054" w:type="pct"/>
            <w:shd w:val="clear" w:color="auto" w:fill="CCCCCC"/>
            <w:vAlign w:val="center"/>
          </w:tcPr>
          <w:p w14:paraId="3406CE1F" w14:textId="77777777" w:rsidR="00F07689" w:rsidRPr="00F07689" w:rsidRDefault="00F07689" w:rsidP="009B480C">
            <w:pPr>
              <w:pStyle w:val="TableHeading"/>
            </w:pPr>
            <w:r w:rsidRPr="00F07689">
              <w:t>Actions/Steps</w:t>
            </w:r>
          </w:p>
        </w:tc>
        <w:tc>
          <w:tcPr>
            <w:tcW w:w="792" w:type="pct"/>
            <w:shd w:val="clear" w:color="auto" w:fill="CCCCCC"/>
            <w:vAlign w:val="center"/>
          </w:tcPr>
          <w:p w14:paraId="041E5076" w14:textId="77777777" w:rsidR="00F07689" w:rsidRPr="00F07689" w:rsidRDefault="00F07689" w:rsidP="009B480C">
            <w:pPr>
              <w:pStyle w:val="TableHeading"/>
            </w:pPr>
            <w:r w:rsidRPr="00F07689">
              <w:t>Owner</w:t>
            </w:r>
          </w:p>
        </w:tc>
      </w:tr>
      <w:tr w:rsidR="00F07689" w:rsidRPr="00F07689" w14:paraId="15E44D4F" w14:textId="77777777" w:rsidTr="00F07689">
        <w:trPr>
          <w:cantSplit/>
        </w:trPr>
        <w:tc>
          <w:tcPr>
            <w:tcW w:w="831" w:type="pct"/>
          </w:tcPr>
          <w:p w14:paraId="41D1EB11" w14:textId="77777777" w:rsidR="00F07689" w:rsidRPr="00F07689" w:rsidRDefault="008C6A3C" w:rsidP="009B480C">
            <w:pPr>
              <w:pStyle w:val="TableText"/>
            </w:pPr>
            <w:r>
              <w:t>N/A</w:t>
            </w:r>
          </w:p>
        </w:tc>
        <w:tc>
          <w:tcPr>
            <w:tcW w:w="1105" w:type="pct"/>
          </w:tcPr>
          <w:p w14:paraId="2D33C88A" w14:textId="3A2D965A" w:rsidR="00F07689" w:rsidRPr="00F07689" w:rsidRDefault="00224712" w:rsidP="009B480C">
            <w:pPr>
              <w:pStyle w:val="TableText"/>
            </w:pPr>
            <w:r>
              <w:t>N/A</w:t>
            </w:r>
          </w:p>
        </w:tc>
        <w:tc>
          <w:tcPr>
            <w:tcW w:w="1218" w:type="pct"/>
          </w:tcPr>
          <w:p w14:paraId="36A1160C" w14:textId="77777777" w:rsidR="00F07689" w:rsidRPr="00F07689" w:rsidRDefault="008C6A3C" w:rsidP="009B480C">
            <w:pPr>
              <w:pStyle w:val="TableText"/>
            </w:pPr>
            <w:r>
              <w:t>N/A</w:t>
            </w:r>
          </w:p>
        </w:tc>
        <w:tc>
          <w:tcPr>
            <w:tcW w:w="1054" w:type="pct"/>
          </w:tcPr>
          <w:p w14:paraId="5CD7A1E0" w14:textId="2427DF09" w:rsidR="00F07689" w:rsidRPr="00F07689" w:rsidRDefault="00224712" w:rsidP="009B480C">
            <w:pPr>
              <w:pStyle w:val="TableText"/>
            </w:pPr>
            <w:r>
              <w:t>N/A</w:t>
            </w:r>
          </w:p>
        </w:tc>
        <w:tc>
          <w:tcPr>
            <w:tcW w:w="792" w:type="pct"/>
          </w:tcPr>
          <w:p w14:paraId="5769EE35" w14:textId="77777777" w:rsidR="00F07689" w:rsidRPr="00F07689" w:rsidRDefault="008C6A3C" w:rsidP="009B480C">
            <w:pPr>
              <w:pStyle w:val="TableText"/>
            </w:pPr>
            <w:r>
              <w:t>N/A</w:t>
            </w:r>
          </w:p>
        </w:tc>
      </w:tr>
    </w:tbl>
    <w:p w14:paraId="7276924F" w14:textId="77777777" w:rsidR="00F07689" w:rsidRPr="00F07689" w:rsidRDefault="00F07689" w:rsidP="00FF21FD">
      <w:pPr>
        <w:pStyle w:val="Heading2"/>
      </w:pPr>
      <w:bookmarkStart w:id="60" w:name="_Toc471313665"/>
      <w:bookmarkStart w:id="61" w:name="_Toc471396319"/>
      <w:bookmarkStart w:id="62" w:name="_Toc471401590"/>
      <w:bookmarkStart w:id="63" w:name="_Toc471401758"/>
      <w:bookmarkStart w:id="64" w:name="_Toc471313671"/>
      <w:bookmarkStart w:id="65" w:name="_Toc471396325"/>
      <w:bookmarkStart w:id="66" w:name="_Toc471401596"/>
      <w:bookmarkStart w:id="67" w:name="_Toc471401764"/>
      <w:bookmarkStart w:id="68" w:name="_Toc421540866"/>
      <w:bookmarkStart w:id="69" w:name="_Toc486338231"/>
      <w:bookmarkEnd w:id="60"/>
      <w:bookmarkEnd w:id="61"/>
      <w:bookmarkEnd w:id="62"/>
      <w:bookmarkEnd w:id="63"/>
      <w:bookmarkEnd w:id="64"/>
      <w:bookmarkEnd w:id="65"/>
      <w:bookmarkEnd w:id="66"/>
      <w:bookmarkEnd w:id="67"/>
      <w:r w:rsidRPr="00F07689">
        <w:t>Resources</w:t>
      </w:r>
      <w:bookmarkEnd w:id="68"/>
      <w:bookmarkEnd w:id="69"/>
    </w:p>
    <w:p w14:paraId="49D7CCE5" w14:textId="77777777" w:rsidR="00F07689" w:rsidRPr="00D370DE" w:rsidRDefault="00F07689" w:rsidP="00AB1954">
      <w:pPr>
        <w:pStyle w:val="Heading3"/>
      </w:pPr>
      <w:bookmarkStart w:id="70" w:name="_Toc471401603"/>
      <w:bookmarkStart w:id="71" w:name="_Toc471401771"/>
      <w:bookmarkStart w:id="72" w:name="_Toc471401604"/>
      <w:bookmarkStart w:id="73" w:name="_Toc471401772"/>
      <w:bookmarkStart w:id="74" w:name="_Toc471401605"/>
      <w:bookmarkStart w:id="75" w:name="_Toc471401773"/>
      <w:bookmarkStart w:id="76" w:name="_Toc421540867"/>
      <w:bookmarkStart w:id="77" w:name="_Toc486338232"/>
      <w:bookmarkEnd w:id="70"/>
      <w:bookmarkEnd w:id="71"/>
      <w:bookmarkEnd w:id="72"/>
      <w:bookmarkEnd w:id="73"/>
      <w:bookmarkEnd w:id="74"/>
      <w:bookmarkEnd w:id="75"/>
      <w:r w:rsidRPr="00D370DE">
        <w:t>Facility Specifics</w:t>
      </w:r>
      <w:bookmarkEnd w:id="76"/>
      <w:bookmarkEnd w:id="77"/>
    </w:p>
    <w:p w14:paraId="76DC521E" w14:textId="77777777" w:rsidR="00F07689" w:rsidRPr="00F07689" w:rsidRDefault="00F07689" w:rsidP="00F07689">
      <w:pPr>
        <w:spacing w:before="120" w:after="120"/>
        <w:rPr>
          <w:sz w:val="24"/>
          <w:szCs w:val="20"/>
        </w:rPr>
      </w:pPr>
      <w:r w:rsidRPr="00D370DE">
        <w:rPr>
          <w:sz w:val="24"/>
          <w:szCs w:val="20"/>
        </w:rPr>
        <w:t>The following table</w:t>
      </w:r>
      <w:r w:rsidRPr="00F07689">
        <w:rPr>
          <w:sz w:val="24"/>
          <w:szCs w:val="20"/>
        </w:rPr>
        <w:t xml:space="preserve"> lists facility-specific features required for deployment.</w:t>
      </w:r>
    </w:p>
    <w:p w14:paraId="2C42BD64" w14:textId="5502E249" w:rsidR="00D575F5" w:rsidRDefault="00D575F5" w:rsidP="00D575F5">
      <w:pPr>
        <w:pStyle w:val="Caption"/>
        <w:jc w:val="center"/>
      </w:pPr>
      <w:bookmarkStart w:id="78" w:name="_Toc479253801"/>
      <w:r>
        <w:t xml:space="preserve">Table </w:t>
      </w:r>
      <w:r w:rsidR="00824938">
        <w:t>4</w:t>
      </w:r>
      <w:r w:rsidRPr="005B1683">
        <w:t>: Facility-Specific Features</w:t>
      </w:r>
      <w:bookmarkEnd w:id="7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2394"/>
        <w:gridCol w:w="2394"/>
        <w:gridCol w:w="2394"/>
      </w:tblGrid>
      <w:tr w:rsidR="00F07689" w:rsidRPr="00F07689" w14:paraId="40C18DD4" w14:textId="77777777" w:rsidTr="00F07689">
        <w:trPr>
          <w:cantSplit/>
          <w:tblHeader/>
        </w:trPr>
        <w:tc>
          <w:tcPr>
            <w:tcW w:w="1250" w:type="pct"/>
            <w:shd w:val="clear" w:color="auto" w:fill="CCCCCC"/>
            <w:vAlign w:val="center"/>
          </w:tcPr>
          <w:p w14:paraId="30E67220" w14:textId="77777777" w:rsidR="00F07689" w:rsidRPr="00F07689" w:rsidRDefault="00F07689" w:rsidP="009B480C">
            <w:pPr>
              <w:pStyle w:val="TableHeading"/>
            </w:pPr>
            <w:bookmarkStart w:id="79" w:name="ColumnTitle_05"/>
            <w:bookmarkEnd w:id="79"/>
            <w:r w:rsidRPr="00F07689">
              <w:t>Site</w:t>
            </w:r>
          </w:p>
        </w:tc>
        <w:tc>
          <w:tcPr>
            <w:tcW w:w="1250" w:type="pct"/>
            <w:shd w:val="clear" w:color="auto" w:fill="CCCCCC"/>
            <w:vAlign w:val="center"/>
          </w:tcPr>
          <w:p w14:paraId="13B4FC96" w14:textId="77777777" w:rsidR="00F07689" w:rsidRPr="00F07689" w:rsidRDefault="00F07689" w:rsidP="009B480C">
            <w:pPr>
              <w:pStyle w:val="TableHeading"/>
            </w:pPr>
            <w:r w:rsidRPr="00F07689">
              <w:t>Space/Room</w:t>
            </w:r>
          </w:p>
        </w:tc>
        <w:tc>
          <w:tcPr>
            <w:tcW w:w="1250" w:type="pct"/>
            <w:shd w:val="clear" w:color="auto" w:fill="CCCCCC"/>
            <w:vAlign w:val="center"/>
          </w:tcPr>
          <w:p w14:paraId="214ABA7F" w14:textId="77777777" w:rsidR="00F07689" w:rsidRPr="00F07689" w:rsidRDefault="00F07689" w:rsidP="009B480C">
            <w:pPr>
              <w:pStyle w:val="TableHeading"/>
            </w:pPr>
            <w:r w:rsidRPr="00F07689">
              <w:t>Features Needed</w:t>
            </w:r>
          </w:p>
        </w:tc>
        <w:tc>
          <w:tcPr>
            <w:tcW w:w="1250" w:type="pct"/>
            <w:shd w:val="clear" w:color="auto" w:fill="CCCCCC"/>
            <w:vAlign w:val="center"/>
          </w:tcPr>
          <w:p w14:paraId="4AE14FDC" w14:textId="77777777" w:rsidR="00F07689" w:rsidRPr="00F07689" w:rsidRDefault="00F07689" w:rsidP="009B480C">
            <w:pPr>
              <w:pStyle w:val="TableHeading"/>
            </w:pPr>
            <w:r w:rsidRPr="00F07689">
              <w:t>Other</w:t>
            </w:r>
          </w:p>
        </w:tc>
      </w:tr>
      <w:tr w:rsidR="00F07689" w:rsidRPr="00F07689" w14:paraId="65E2B136" w14:textId="77777777" w:rsidTr="00F07689">
        <w:trPr>
          <w:cantSplit/>
        </w:trPr>
        <w:tc>
          <w:tcPr>
            <w:tcW w:w="1250" w:type="pct"/>
          </w:tcPr>
          <w:p w14:paraId="5C6ACEDD" w14:textId="77777777" w:rsidR="00F07689" w:rsidRPr="00F07689" w:rsidRDefault="008C6A3C" w:rsidP="009B480C">
            <w:pPr>
              <w:pStyle w:val="TableText"/>
            </w:pPr>
            <w:r>
              <w:t>N/A</w:t>
            </w:r>
          </w:p>
        </w:tc>
        <w:tc>
          <w:tcPr>
            <w:tcW w:w="1250" w:type="pct"/>
          </w:tcPr>
          <w:p w14:paraId="088ECDC1" w14:textId="77777777" w:rsidR="00F07689" w:rsidRPr="00F07689" w:rsidRDefault="008C6A3C" w:rsidP="009B480C">
            <w:pPr>
              <w:pStyle w:val="TableText"/>
            </w:pPr>
            <w:r>
              <w:t>N/A</w:t>
            </w:r>
          </w:p>
        </w:tc>
        <w:tc>
          <w:tcPr>
            <w:tcW w:w="1250" w:type="pct"/>
          </w:tcPr>
          <w:p w14:paraId="697813F1" w14:textId="77777777" w:rsidR="00F07689" w:rsidRPr="00F07689" w:rsidRDefault="008C6A3C" w:rsidP="009B480C">
            <w:pPr>
              <w:pStyle w:val="TableText"/>
            </w:pPr>
            <w:r>
              <w:t>N/A</w:t>
            </w:r>
          </w:p>
        </w:tc>
        <w:tc>
          <w:tcPr>
            <w:tcW w:w="1250" w:type="pct"/>
          </w:tcPr>
          <w:p w14:paraId="3EA1F28C" w14:textId="77777777" w:rsidR="00F07689" w:rsidRPr="00F07689" w:rsidRDefault="008C6A3C" w:rsidP="009B480C">
            <w:pPr>
              <w:pStyle w:val="TableText"/>
            </w:pPr>
            <w:r>
              <w:t>N/A</w:t>
            </w:r>
          </w:p>
        </w:tc>
      </w:tr>
    </w:tbl>
    <w:p w14:paraId="44B541FA" w14:textId="77777777" w:rsidR="00F07689" w:rsidRPr="00F07689" w:rsidRDefault="00F07689" w:rsidP="00AB1954">
      <w:pPr>
        <w:pStyle w:val="Heading3"/>
      </w:pPr>
      <w:bookmarkStart w:id="80" w:name="_Toc471313679"/>
      <w:bookmarkStart w:id="81" w:name="_Toc471396333"/>
      <w:bookmarkStart w:id="82" w:name="_Toc471401607"/>
      <w:bookmarkStart w:id="83" w:name="_Toc471401775"/>
      <w:bookmarkStart w:id="84" w:name="_Toc471313684"/>
      <w:bookmarkStart w:id="85" w:name="_Toc471396338"/>
      <w:bookmarkStart w:id="86" w:name="_Toc471401612"/>
      <w:bookmarkStart w:id="87" w:name="_Toc471401780"/>
      <w:bookmarkStart w:id="88" w:name="_Toc421540868"/>
      <w:bookmarkStart w:id="89" w:name="_Toc486338233"/>
      <w:bookmarkEnd w:id="80"/>
      <w:bookmarkEnd w:id="81"/>
      <w:bookmarkEnd w:id="82"/>
      <w:bookmarkEnd w:id="83"/>
      <w:bookmarkEnd w:id="84"/>
      <w:bookmarkEnd w:id="85"/>
      <w:bookmarkEnd w:id="86"/>
      <w:bookmarkEnd w:id="87"/>
      <w:r w:rsidRPr="00F07689">
        <w:t>Hardware</w:t>
      </w:r>
      <w:bookmarkEnd w:id="88"/>
      <w:bookmarkEnd w:id="89"/>
      <w:r w:rsidRPr="00F07689">
        <w:t xml:space="preserve"> </w:t>
      </w:r>
    </w:p>
    <w:p w14:paraId="78B0FA18"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8B49E43" w14:textId="10102BE6" w:rsidR="00D575F5" w:rsidRDefault="00D575F5" w:rsidP="00D575F5">
      <w:pPr>
        <w:pStyle w:val="Caption"/>
        <w:jc w:val="center"/>
      </w:pPr>
      <w:bookmarkStart w:id="90" w:name="_Toc479253802"/>
      <w:r>
        <w:t xml:space="preserve">Table </w:t>
      </w:r>
      <w:r w:rsidR="00824938">
        <w:t>5</w:t>
      </w:r>
      <w:r w:rsidRPr="00E57B2A">
        <w:t>: Hardware Specifications</w:t>
      </w:r>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1"/>
        <w:gridCol w:w="1542"/>
        <w:gridCol w:w="1542"/>
        <w:gridCol w:w="1731"/>
        <w:gridCol w:w="1682"/>
        <w:gridCol w:w="1538"/>
      </w:tblGrid>
      <w:tr w:rsidR="00F07689" w:rsidRPr="00F07689" w14:paraId="00D7B606" w14:textId="77777777" w:rsidTr="00F07689">
        <w:trPr>
          <w:cantSplit/>
          <w:tblHeader/>
        </w:trPr>
        <w:tc>
          <w:tcPr>
            <w:tcW w:w="805" w:type="pct"/>
            <w:shd w:val="clear" w:color="auto" w:fill="CCCCCC"/>
            <w:vAlign w:val="center"/>
          </w:tcPr>
          <w:p w14:paraId="57F4956A" w14:textId="77777777" w:rsidR="00F07689" w:rsidRPr="00F07689" w:rsidRDefault="00F07689" w:rsidP="009B480C">
            <w:pPr>
              <w:pStyle w:val="TableHeading"/>
            </w:pPr>
            <w:bookmarkStart w:id="91" w:name="ColumnTitle_06"/>
            <w:bookmarkEnd w:id="91"/>
            <w:r w:rsidRPr="00F07689">
              <w:t>Required Hardware</w:t>
            </w:r>
          </w:p>
        </w:tc>
        <w:tc>
          <w:tcPr>
            <w:tcW w:w="805" w:type="pct"/>
            <w:shd w:val="clear" w:color="auto" w:fill="CCCCCC"/>
            <w:vAlign w:val="center"/>
          </w:tcPr>
          <w:p w14:paraId="5D14E98F" w14:textId="77777777" w:rsidR="00F07689" w:rsidRPr="00F07689" w:rsidRDefault="00F07689" w:rsidP="009B480C">
            <w:pPr>
              <w:pStyle w:val="TableHeading"/>
            </w:pPr>
            <w:r w:rsidRPr="00F07689">
              <w:t>Model</w:t>
            </w:r>
          </w:p>
        </w:tc>
        <w:tc>
          <w:tcPr>
            <w:tcW w:w="805" w:type="pct"/>
            <w:shd w:val="clear" w:color="auto" w:fill="CCCCCC"/>
            <w:vAlign w:val="center"/>
          </w:tcPr>
          <w:p w14:paraId="0650FBED" w14:textId="77777777" w:rsidR="00F07689" w:rsidRPr="00F07689" w:rsidRDefault="00F07689" w:rsidP="009B480C">
            <w:pPr>
              <w:pStyle w:val="TableHeading"/>
            </w:pPr>
            <w:r w:rsidRPr="00F07689">
              <w:t>Version</w:t>
            </w:r>
          </w:p>
        </w:tc>
        <w:tc>
          <w:tcPr>
            <w:tcW w:w="904" w:type="pct"/>
            <w:shd w:val="clear" w:color="auto" w:fill="CCCCCC"/>
            <w:vAlign w:val="center"/>
          </w:tcPr>
          <w:p w14:paraId="6BDD78EE" w14:textId="77777777" w:rsidR="00F07689" w:rsidRPr="00F07689" w:rsidRDefault="00F07689" w:rsidP="009B480C">
            <w:pPr>
              <w:pStyle w:val="TableHeading"/>
            </w:pPr>
            <w:r w:rsidRPr="00F07689">
              <w:t>Configuration</w:t>
            </w:r>
          </w:p>
        </w:tc>
        <w:tc>
          <w:tcPr>
            <w:tcW w:w="878" w:type="pct"/>
            <w:shd w:val="clear" w:color="auto" w:fill="CCCCCC"/>
            <w:vAlign w:val="center"/>
          </w:tcPr>
          <w:p w14:paraId="2A752764" w14:textId="77777777" w:rsidR="00F07689" w:rsidRPr="00F07689" w:rsidRDefault="00F07689" w:rsidP="009B480C">
            <w:pPr>
              <w:pStyle w:val="TableHeading"/>
            </w:pPr>
            <w:r w:rsidRPr="00F07689">
              <w:t>Manufacturer</w:t>
            </w:r>
          </w:p>
        </w:tc>
        <w:tc>
          <w:tcPr>
            <w:tcW w:w="803" w:type="pct"/>
            <w:shd w:val="clear" w:color="auto" w:fill="CCCCCC"/>
            <w:vAlign w:val="center"/>
          </w:tcPr>
          <w:p w14:paraId="6B74F494" w14:textId="77777777" w:rsidR="00F07689" w:rsidRPr="00F07689" w:rsidRDefault="00F07689" w:rsidP="009B480C">
            <w:pPr>
              <w:pStyle w:val="TableHeading"/>
            </w:pPr>
            <w:r w:rsidRPr="00F07689">
              <w:t>Other</w:t>
            </w:r>
          </w:p>
        </w:tc>
      </w:tr>
      <w:tr w:rsidR="00F07689" w:rsidRPr="00F07689" w14:paraId="4E841508" w14:textId="77777777" w:rsidTr="00F07689">
        <w:trPr>
          <w:cantSplit/>
        </w:trPr>
        <w:tc>
          <w:tcPr>
            <w:tcW w:w="805" w:type="pct"/>
          </w:tcPr>
          <w:p w14:paraId="6E6EB927" w14:textId="77777777" w:rsidR="00F07689" w:rsidRPr="00F07689" w:rsidRDefault="008C6A3C" w:rsidP="009B480C">
            <w:pPr>
              <w:pStyle w:val="TableText"/>
            </w:pPr>
            <w:r>
              <w:t>Existing VistA system</w:t>
            </w:r>
          </w:p>
        </w:tc>
        <w:tc>
          <w:tcPr>
            <w:tcW w:w="805" w:type="pct"/>
          </w:tcPr>
          <w:p w14:paraId="28C1F71F" w14:textId="77777777" w:rsidR="00F07689" w:rsidRPr="00F07689" w:rsidRDefault="008C6A3C" w:rsidP="009B480C">
            <w:pPr>
              <w:pStyle w:val="TableText"/>
            </w:pPr>
            <w:r>
              <w:t>N/A</w:t>
            </w:r>
          </w:p>
        </w:tc>
        <w:tc>
          <w:tcPr>
            <w:tcW w:w="805" w:type="pct"/>
          </w:tcPr>
          <w:p w14:paraId="34321922" w14:textId="77777777" w:rsidR="00F07689" w:rsidRPr="00F07689" w:rsidRDefault="008C6A3C" w:rsidP="009B480C">
            <w:pPr>
              <w:pStyle w:val="TableText"/>
            </w:pPr>
            <w:r>
              <w:t>N/A</w:t>
            </w:r>
          </w:p>
        </w:tc>
        <w:tc>
          <w:tcPr>
            <w:tcW w:w="904" w:type="pct"/>
          </w:tcPr>
          <w:p w14:paraId="00FB0206" w14:textId="77777777" w:rsidR="00F07689" w:rsidRPr="00F07689" w:rsidRDefault="008C6A3C" w:rsidP="009B480C">
            <w:pPr>
              <w:pStyle w:val="TableText"/>
            </w:pPr>
            <w:r>
              <w:t>N/A</w:t>
            </w:r>
          </w:p>
        </w:tc>
        <w:tc>
          <w:tcPr>
            <w:tcW w:w="878" w:type="pct"/>
          </w:tcPr>
          <w:p w14:paraId="38895D66" w14:textId="77777777" w:rsidR="00F07689" w:rsidRPr="00F07689" w:rsidRDefault="008C6A3C" w:rsidP="009B480C">
            <w:pPr>
              <w:pStyle w:val="TableText"/>
            </w:pPr>
            <w:r>
              <w:t>N/A</w:t>
            </w:r>
          </w:p>
        </w:tc>
        <w:tc>
          <w:tcPr>
            <w:tcW w:w="803" w:type="pct"/>
          </w:tcPr>
          <w:p w14:paraId="08D0D4E5" w14:textId="77777777" w:rsidR="00F07689" w:rsidRPr="00F07689" w:rsidRDefault="008C6A3C" w:rsidP="009B480C">
            <w:pPr>
              <w:pStyle w:val="TableText"/>
            </w:pPr>
            <w:r>
              <w:t>N/A</w:t>
            </w:r>
          </w:p>
        </w:tc>
      </w:tr>
    </w:tbl>
    <w:p w14:paraId="3C27A474" w14:textId="77777777" w:rsidR="00F07689" w:rsidRPr="00F07689" w:rsidRDefault="00F07689" w:rsidP="00F07689">
      <w:pPr>
        <w:spacing w:before="120" w:after="120"/>
        <w:rPr>
          <w:sz w:val="24"/>
          <w:szCs w:val="20"/>
        </w:rPr>
      </w:pPr>
      <w:r w:rsidRPr="00F07689">
        <w:rPr>
          <w:sz w:val="24"/>
          <w:szCs w:val="20"/>
        </w:rPr>
        <w:lastRenderedPageBreak/>
        <w:t>Please see the Roles and Responsibilities table in Section 2 for details about who is responsible for preparing the site to meet these hardware specifications.</w:t>
      </w:r>
    </w:p>
    <w:p w14:paraId="57DCDA18" w14:textId="77777777" w:rsidR="00F07689" w:rsidRPr="00F07689" w:rsidRDefault="00F07689" w:rsidP="00AB1954">
      <w:pPr>
        <w:pStyle w:val="Heading3"/>
      </w:pPr>
      <w:bookmarkStart w:id="92" w:name="_Toc421540869"/>
      <w:bookmarkStart w:id="93" w:name="_Toc486338234"/>
      <w:r w:rsidRPr="00F07689">
        <w:t>Software</w:t>
      </w:r>
      <w:bookmarkEnd w:id="92"/>
      <w:bookmarkEnd w:id="93"/>
      <w:r w:rsidRPr="00F07689">
        <w:t xml:space="preserve"> </w:t>
      </w:r>
    </w:p>
    <w:p w14:paraId="4EA7B065"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78685B99" w14:textId="2F0E7B91" w:rsidR="00D575F5" w:rsidRDefault="00D575F5" w:rsidP="00D575F5">
      <w:pPr>
        <w:pStyle w:val="Caption"/>
        <w:jc w:val="center"/>
      </w:pPr>
      <w:bookmarkStart w:id="94" w:name="_Toc479253803"/>
      <w:r>
        <w:t xml:space="preserve">Table </w:t>
      </w:r>
      <w:r w:rsidR="00824938">
        <w:t>6</w:t>
      </w:r>
      <w:r w:rsidRPr="00DA2819">
        <w:t>: Software Specifications</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1"/>
        <w:gridCol w:w="1515"/>
        <w:gridCol w:w="1517"/>
        <w:gridCol w:w="1705"/>
        <w:gridCol w:w="1657"/>
        <w:gridCol w:w="1511"/>
      </w:tblGrid>
      <w:tr w:rsidR="00F07689" w:rsidRPr="00F07689" w14:paraId="75A06D26" w14:textId="77777777" w:rsidTr="00B2412C">
        <w:trPr>
          <w:cantSplit/>
          <w:tblHeader/>
        </w:trPr>
        <w:tc>
          <w:tcPr>
            <w:tcW w:w="872" w:type="pct"/>
            <w:shd w:val="clear" w:color="auto" w:fill="CCCCCC"/>
            <w:vAlign w:val="center"/>
          </w:tcPr>
          <w:p w14:paraId="7D18AEDF" w14:textId="77777777" w:rsidR="00F07689" w:rsidRPr="00F07689" w:rsidRDefault="00F07689" w:rsidP="009B480C">
            <w:pPr>
              <w:pStyle w:val="TableHeading"/>
            </w:pPr>
            <w:bookmarkStart w:id="95" w:name="ColumnTitle_07"/>
            <w:bookmarkEnd w:id="95"/>
            <w:r w:rsidRPr="00F07689">
              <w:t>Required Software</w:t>
            </w:r>
          </w:p>
        </w:tc>
        <w:tc>
          <w:tcPr>
            <w:tcW w:w="791" w:type="pct"/>
            <w:shd w:val="clear" w:color="auto" w:fill="CCCCCC"/>
            <w:vAlign w:val="center"/>
          </w:tcPr>
          <w:p w14:paraId="36F9AA6E" w14:textId="77777777" w:rsidR="00F07689" w:rsidRPr="00F07689" w:rsidRDefault="00F07689" w:rsidP="009B480C">
            <w:pPr>
              <w:pStyle w:val="TableHeading"/>
            </w:pPr>
            <w:r w:rsidRPr="00F07689">
              <w:t>Make</w:t>
            </w:r>
          </w:p>
        </w:tc>
        <w:tc>
          <w:tcPr>
            <w:tcW w:w="792" w:type="pct"/>
            <w:shd w:val="clear" w:color="auto" w:fill="CCCCCC"/>
            <w:vAlign w:val="center"/>
          </w:tcPr>
          <w:p w14:paraId="230C1CE6" w14:textId="77777777" w:rsidR="00F07689" w:rsidRPr="00F07689" w:rsidRDefault="00F07689" w:rsidP="009B480C">
            <w:pPr>
              <w:pStyle w:val="TableHeading"/>
            </w:pPr>
            <w:r w:rsidRPr="00F07689">
              <w:t>Version</w:t>
            </w:r>
          </w:p>
        </w:tc>
        <w:tc>
          <w:tcPr>
            <w:tcW w:w="890" w:type="pct"/>
            <w:shd w:val="clear" w:color="auto" w:fill="CCCCCC"/>
            <w:vAlign w:val="center"/>
          </w:tcPr>
          <w:p w14:paraId="22BD5C5A" w14:textId="77777777" w:rsidR="00F07689" w:rsidRPr="00F07689" w:rsidRDefault="00F07689" w:rsidP="009B480C">
            <w:pPr>
              <w:pStyle w:val="TableHeading"/>
            </w:pPr>
            <w:r w:rsidRPr="00F07689">
              <w:t>Configuration</w:t>
            </w:r>
          </w:p>
        </w:tc>
        <w:tc>
          <w:tcPr>
            <w:tcW w:w="865" w:type="pct"/>
            <w:shd w:val="clear" w:color="auto" w:fill="CCCCCC"/>
            <w:vAlign w:val="center"/>
          </w:tcPr>
          <w:p w14:paraId="558CB665" w14:textId="77777777" w:rsidR="00F07689" w:rsidRPr="00F07689" w:rsidRDefault="00F07689" w:rsidP="009B480C">
            <w:pPr>
              <w:pStyle w:val="TableHeading"/>
            </w:pPr>
            <w:r w:rsidRPr="00F07689">
              <w:t>Manufacturer</w:t>
            </w:r>
          </w:p>
        </w:tc>
        <w:tc>
          <w:tcPr>
            <w:tcW w:w="789" w:type="pct"/>
            <w:shd w:val="clear" w:color="auto" w:fill="CCCCCC"/>
            <w:vAlign w:val="center"/>
          </w:tcPr>
          <w:p w14:paraId="123E2865" w14:textId="77777777" w:rsidR="00F07689" w:rsidRPr="00F07689" w:rsidRDefault="00F07689" w:rsidP="009B480C">
            <w:pPr>
              <w:pStyle w:val="TableHeading"/>
            </w:pPr>
            <w:r w:rsidRPr="00F07689">
              <w:t>Other</w:t>
            </w:r>
          </w:p>
        </w:tc>
      </w:tr>
      <w:tr w:rsidR="00F07689" w:rsidRPr="00F07689" w14:paraId="2AB2CA5E" w14:textId="77777777" w:rsidTr="00B2412C">
        <w:trPr>
          <w:cantSplit/>
        </w:trPr>
        <w:tc>
          <w:tcPr>
            <w:tcW w:w="872" w:type="pct"/>
          </w:tcPr>
          <w:p w14:paraId="26884F6E" w14:textId="77777777" w:rsidR="00F07689" w:rsidRPr="00F07689" w:rsidRDefault="008C6A3C" w:rsidP="009B480C">
            <w:pPr>
              <w:pStyle w:val="TableText"/>
            </w:pPr>
            <w:r>
              <w:t xml:space="preserve">Fully patched </w:t>
            </w:r>
            <w:r w:rsidR="001A6795">
              <w:t>Integrated Billing</w:t>
            </w:r>
            <w:r w:rsidR="007453E5">
              <w:t xml:space="preserve"> </w:t>
            </w:r>
            <w:r>
              <w:t>package within VistA</w:t>
            </w:r>
          </w:p>
        </w:tc>
        <w:tc>
          <w:tcPr>
            <w:tcW w:w="791" w:type="pct"/>
          </w:tcPr>
          <w:p w14:paraId="565BF5EB" w14:textId="77777777" w:rsidR="00F07689" w:rsidRPr="00F07689" w:rsidRDefault="008C6A3C" w:rsidP="009B480C">
            <w:pPr>
              <w:pStyle w:val="TableText"/>
            </w:pPr>
            <w:r>
              <w:t>N/A</w:t>
            </w:r>
          </w:p>
        </w:tc>
        <w:tc>
          <w:tcPr>
            <w:tcW w:w="792" w:type="pct"/>
          </w:tcPr>
          <w:p w14:paraId="20F612BD" w14:textId="77777777" w:rsidR="00F07689" w:rsidRPr="00F07689" w:rsidRDefault="007453E5" w:rsidP="009B480C">
            <w:pPr>
              <w:pStyle w:val="TableText"/>
            </w:pPr>
            <w:r>
              <w:t>2.0</w:t>
            </w:r>
          </w:p>
        </w:tc>
        <w:tc>
          <w:tcPr>
            <w:tcW w:w="890" w:type="pct"/>
          </w:tcPr>
          <w:p w14:paraId="1B399263" w14:textId="77777777" w:rsidR="00F07689" w:rsidRPr="00F07689" w:rsidRDefault="008C6A3C" w:rsidP="009B480C">
            <w:pPr>
              <w:pStyle w:val="TableText"/>
            </w:pPr>
            <w:r>
              <w:t>N/A</w:t>
            </w:r>
          </w:p>
        </w:tc>
        <w:tc>
          <w:tcPr>
            <w:tcW w:w="865" w:type="pct"/>
          </w:tcPr>
          <w:p w14:paraId="0AB19C83" w14:textId="77777777" w:rsidR="00F07689" w:rsidRPr="00F07689" w:rsidRDefault="008C6A3C" w:rsidP="009B480C">
            <w:pPr>
              <w:pStyle w:val="TableText"/>
            </w:pPr>
            <w:r>
              <w:t>N/A</w:t>
            </w:r>
          </w:p>
        </w:tc>
        <w:tc>
          <w:tcPr>
            <w:tcW w:w="789" w:type="pct"/>
          </w:tcPr>
          <w:p w14:paraId="5ACDF813" w14:textId="77777777" w:rsidR="00F07689" w:rsidRPr="00F07689" w:rsidRDefault="008C6A3C" w:rsidP="009B480C">
            <w:pPr>
              <w:pStyle w:val="TableText"/>
            </w:pPr>
            <w:r>
              <w:t>N/A</w:t>
            </w:r>
          </w:p>
        </w:tc>
      </w:tr>
      <w:tr w:rsidR="007453E5" w:rsidRPr="00F07689" w14:paraId="5CDD1060"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80A4D58" w14:textId="7916DFF9" w:rsidR="007453E5" w:rsidRPr="00F07689" w:rsidRDefault="00B2412C" w:rsidP="009B480C">
            <w:pPr>
              <w:pStyle w:val="TableText"/>
            </w:pPr>
            <w:r>
              <w:t>IB*2.0*407</w:t>
            </w:r>
          </w:p>
        </w:tc>
        <w:tc>
          <w:tcPr>
            <w:tcW w:w="791" w:type="pct"/>
            <w:tcBorders>
              <w:top w:val="single" w:sz="4" w:space="0" w:color="auto"/>
              <w:left w:val="single" w:sz="4" w:space="0" w:color="auto"/>
              <w:bottom w:val="single" w:sz="4" w:space="0" w:color="auto"/>
              <w:right w:val="single" w:sz="4" w:space="0" w:color="auto"/>
            </w:tcBorders>
          </w:tcPr>
          <w:p w14:paraId="2E45F09A" w14:textId="77777777" w:rsidR="007453E5" w:rsidRPr="00F07689" w:rsidRDefault="007453E5"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4C2C104C" w14:textId="77777777" w:rsidR="007453E5" w:rsidRPr="00F07689" w:rsidRDefault="007453E5"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17A10F8" w14:textId="77777777" w:rsidR="007453E5" w:rsidRPr="00F07689" w:rsidRDefault="007453E5"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2E9E05F" w14:textId="77777777" w:rsidR="007453E5" w:rsidRPr="00F07689" w:rsidRDefault="007453E5"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71517406" w14:textId="77777777" w:rsidR="007453E5" w:rsidRPr="00F07689" w:rsidRDefault="007453E5" w:rsidP="009B480C">
            <w:pPr>
              <w:pStyle w:val="TableText"/>
            </w:pPr>
            <w:r>
              <w:t>N/A</w:t>
            </w:r>
          </w:p>
        </w:tc>
      </w:tr>
      <w:tr w:rsidR="00B2412C" w:rsidRPr="00F07689" w14:paraId="5C10BD02"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71DD88E8" w14:textId="77777777" w:rsidR="00B2412C" w:rsidRPr="00F07689" w:rsidRDefault="00B2412C" w:rsidP="009B480C">
            <w:pPr>
              <w:pStyle w:val="TableText"/>
            </w:pPr>
            <w:r>
              <w:t>IB*2.0*522</w:t>
            </w:r>
          </w:p>
        </w:tc>
        <w:tc>
          <w:tcPr>
            <w:tcW w:w="791" w:type="pct"/>
            <w:tcBorders>
              <w:top w:val="single" w:sz="4" w:space="0" w:color="auto"/>
              <w:left w:val="single" w:sz="4" w:space="0" w:color="auto"/>
              <w:bottom w:val="single" w:sz="4" w:space="0" w:color="auto"/>
              <w:right w:val="single" w:sz="4" w:space="0" w:color="auto"/>
            </w:tcBorders>
          </w:tcPr>
          <w:p w14:paraId="5ADA1135"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7AD311DD"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0E6155E8"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47295A41"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18785991" w14:textId="77777777" w:rsidR="00B2412C" w:rsidRPr="00F07689" w:rsidRDefault="00B2412C" w:rsidP="009B480C">
            <w:pPr>
              <w:pStyle w:val="TableText"/>
            </w:pPr>
            <w:r>
              <w:t>N/A</w:t>
            </w:r>
          </w:p>
        </w:tc>
      </w:tr>
      <w:tr w:rsidR="00B2412C" w:rsidRPr="00F07689" w14:paraId="3A76D85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09635649" w14:textId="546FD585" w:rsidR="00B2412C" w:rsidRPr="00F07689" w:rsidRDefault="00B2412C" w:rsidP="009B480C">
            <w:pPr>
              <w:pStyle w:val="TableText"/>
            </w:pPr>
            <w:r>
              <w:t>IB*2.0*547</w:t>
            </w:r>
          </w:p>
        </w:tc>
        <w:tc>
          <w:tcPr>
            <w:tcW w:w="791" w:type="pct"/>
            <w:tcBorders>
              <w:top w:val="single" w:sz="4" w:space="0" w:color="auto"/>
              <w:left w:val="single" w:sz="4" w:space="0" w:color="auto"/>
              <w:bottom w:val="single" w:sz="4" w:space="0" w:color="auto"/>
              <w:right w:val="single" w:sz="4" w:space="0" w:color="auto"/>
            </w:tcBorders>
          </w:tcPr>
          <w:p w14:paraId="42F1D5C8"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2A33A63"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5B03D4E9"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3D0BCC88"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08B247BD" w14:textId="77777777" w:rsidR="00B2412C" w:rsidRPr="00F07689" w:rsidRDefault="00B2412C" w:rsidP="009B480C">
            <w:pPr>
              <w:pStyle w:val="TableText"/>
            </w:pPr>
            <w:r>
              <w:t>N/A</w:t>
            </w:r>
          </w:p>
        </w:tc>
      </w:tr>
      <w:tr w:rsidR="00B2412C" w:rsidRPr="00F07689" w14:paraId="4FFC58B4" w14:textId="77777777" w:rsidTr="00B2412C">
        <w:trPr>
          <w:cantSplit/>
        </w:trPr>
        <w:tc>
          <w:tcPr>
            <w:tcW w:w="872" w:type="pct"/>
            <w:tcBorders>
              <w:top w:val="single" w:sz="4" w:space="0" w:color="auto"/>
              <w:left w:val="single" w:sz="4" w:space="0" w:color="auto"/>
              <w:bottom w:val="single" w:sz="4" w:space="0" w:color="auto"/>
              <w:right w:val="single" w:sz="4" w:space="0" w:color="auto"/>
            </w:tcBorders>
          </w:tcPr>
          <w:p w14:paraId="23ADC491" w14:textId="25743468" w:rsidR="00B2412C" w:rsidRPr="00F07689" w:rsidRDefault="00B2412C" w:rsidP="009B480C">
            <w:pPr>
              <w:pStyle w:val="TableText"/>
            </w:pPr>
            <w:r>
              <w:t>IB*2.0*550</w:t>
            </w:r>
          </w:p>
        </w:tc>
        <w:tc>
          <w:tcPr>
            <w:tcW w:w="791" w:type="pct"/>
            <w:tcBorders>
              <w:top w:val="single" w:sz="4" w:space="0" w:color="auto"/>
              <w:left w:val="single" w:sz="4" w:space="0" w:color="auto"/>
              <w:bottom w:val="single" w:sz="4" w:space="0" w:color="auto"/>
              <w:right w:val="single" w:sz="4" w:space="0" w:color="auto"/>
            </w:tcBorders>
          </w:tcPr>
          <w:p w14:paraId="5C5AC751" w14:textId="77777777" w:rsidR="00B2412C" w:rsidRPr="00F07689" w:rsidRDefault="00B2412C"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219D43B2" w14:textId="77777777" w:rsidR="00B2412C" w:rsidRPr="00F07689" w:rsidRDefault="00B2412C"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293AD244" w14:textId="77777777" w:rsidR="00B2412C" w:rsidRPr="00F07689" w:rsidRDefault="00B2412C"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50A142EF" w14:textId="77777777" w:rsidR="00B2412C" w:rsidRPr="00F07689" w:rsidRDefault="00B2412C"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5591A88F" w14:textId="77777777" w:rsidR="00B2412C" w:rsidRPr="00F07689" w:rsidRDefault="00B2412C" w:rsidP="009B480C">
            <w:pPr>
              <w:pStyle w:val="TableText"/>
            </w:pPr>
            <w:r>
              <w:t>N/A</w:t>
            </w:r>
          </w:p>
        </w:tc>
      </w:tr>
      <w:tr w:rsidR="003E4236" w:rsidRPr="00F07689" w14:paraId="174A1940" w14:textId="77777777" w:rsidTr="003E4236">
        <w:trPr>
          <w:cantSplit/>
        </w:trPr>
        <w:tc>
          <w:tcPr>
            <w:tcW w:w="872" w:type="pct"/>
            <w:tcBorders>
              <w:top w:val="single" w:sz="4" w:space="0" w:color="auto"/>
              <w:left w:val="single" w:sz="4" w:space="0" w:color="auto"/>
              <w:bottom w:val="single" w:sz="4" w:space="0" w:color="auto"/>
              <w:right w:val="single" w:sz="4" w:space="0" w:color="auto"/>
            </w:tcBorders>
          </w:tcPr>
          <w:p w14:paraId="0E325567" w14:textId="77777777" w:rsidR="003E4236" w:rsidRPr="00F07689" w:rsidRDefault="003E4236" w:rsidP="009B480C">
            <w:pPr>
              <w:pStyle w:val="TableText"/>
            </w:pPr>
            <w:r>
              <w:t>IB*2.0*554</w:t>
            </w:r>
          </w:p>
        </w:tc>
        <w:tc>
          <w:tcPr>
            <w:tcW w:w="791" w:type="pct"/>
            <w:tcBorders>
              <w:top w:val="single" w:sz="4" w:space="0" w:color="auto"/>
              <w:left w:val="single" w:sz="4" w:space="0" w:color="auto"/>
              <w:bottom w:val="single" w:sz="4" w:space="0" w:color="auto"/>
              <w:right w:val="single" w:sz="4" w:space="0" w:color="auto"/>
            </w:tcBorders>
          </w:tcPr>
          <w:p w14:paraId="3C02FFB3" w14:textId="77777777" w:rsidR="003E4236" w:rsidRPr="00F07689" w:rsidRDefault="003E4236" w:rsidP="009B480C">
            <w:pPr>
              <w:pStyle w:val="TableText"/>
            </w:pPr>
            <w:r>
              <w:t>N/A</w:t>
            </w:r>
          </w:p>
        </w:tc>
        <w:tc>
          <w:tcPr>
            <w:tcW w:w="792" w:type="pct"/>
            <w:tcBorders>
              <w:top w:val="single" w:sz="4" w:space="0" w:color="auto"/>
              <w:left w:val="single" w:sz="4" w:space="0" w:color="auto"/>
              <w:bottom w:val="single" w:sz="4" w:space="0" w:color="auto"/>
              <w:right w:val="single" w:sz="4" w:space="0" w:color="auto"/>
            </w:tcBorders>
          </w:tcPr>
          <w:p w14:paraId="5A18411B" w14:textId="77777777" w:rsidR="003E4236" w:rsidRPr="00F07689" w:rsidRDefault="003E4236" w:rsidP="009B480C">
            <w:pPr>
              <w:pStyle w:val="TableText"/>
            </w:pPr>
            <w:r>
              <w:t>Nationally released version</w:t>
            </w:r>
          </w:p>
        </w:tc>
        <w:tc>
          <w:tcPr>
            <w:tcW w:w="890" w:type="pct"/>
            <w:tcBorders>
              <w:top w:val="single" w:sz="4" w:space="0" w:color="auto"/>
              <w:left w:val="single" w:sz="4" w:space="0" w:color="auto"/>
              <w:bottom w:val="single" w:sz="4" w:space="0" w:color="auto"/>
              <w:right w:val="single" w:sz="4" w:space="0" w:color="auto"/>
            </w:tcBorders>
          </w:tcPr>
          <w:p w14:paraId="6F8682CB" w14:textId="77777777" w:rsidR="003E4236" w:rsidRPr="00F07689" w:rsidRDefault="003E4236" w:rsidP="009B480C">
            <w:pPr>
              <w:pStyle w:val="TableText"/>
            </w:pPr>
            <w:r>
              <w:t>N/A</w:t>
            </w:r>
          </w:p>
        </w:tc>
        <w:tc>
          <w:tcPr>
            <w:tcW w:w="865" w:type="pct"/>
            <w:tcBorders>
              <w:top w:val="single" w:sz="4" w:space="0" w:color="auto"/>
              <w:left w:val="single" w:sz="4" w:space="0" w:color="auto"/>
              <w:bottom w:val="single" w:sz="4" w:space="0" w:color="auto"/>
              <w:right w:val="single" w:sz="4" w:space="0" w:color="auto"/>
            </w:tcBorders>
          </w:tcPr>
          <w:p w14:paraId="1654ABB9" w14:textId="77777777" w:rsidR="003E4236" w:rsidRPr="00F07689" w:rsidRDefault="003E4236" w:rsidP="009B480C">
            <w:pPr>
              <w:pStyle w:val="TableText"/>
            </w:pPr>
            <w:r>
              <w:t>N/A</w:t>
            </w:r>
          </w:p>
        </w:tc>
        <w:tc>
          <w:tcPr>
            <w:tcW w:w="789" w:type="pct"/>
            <w:tcBorders>
              <w:top w:val="single" w:sz="4" w:space="0" w:color="auto"/>
              <w:left w:val="single" w:sz="4" w:space="0" w:color="auto"/>
              <w:bottom w:val="single" w:sz="4" w:space="0" w:color="auto"/>
              <w:right w:val="single" w:sz="4" w:space="0" w:color="auto"/>
            </w:tcBorders>
          </w:tcPr>
          <w:p w14:paraId="494C82FE" w14:textId="77777777" w:rsidR="003E4236" w:rsidRPr="00F07689" w:rsidRDefault="003E4236" w:rsidP="009B480C">
            <w:pPr>
              <w:pStyle w:val="TableText"/>
            </w:pPr>
            <w:r>
              <w:t>N/A</w:t>
            </w:r>
          </w:p>
        </w:tc>
      </w:tr>
      <w:tr w:rsidR="00F07689" w:rsidRPr="00F07689" w14:paraId="01410F74" w14:textId="77777777" w:rsidTr="00B2412C">
        <w:trPr>
          <w:cantSplit/>
        </w:trPr>
        <w:tc>
          <w:tcPr>
            <w:tcW w:w="872" w:type="pct"/>
          </w:tcPr>
          <w:p w14:paraId="27CA1901" w14:textId="3056042E" w:rsidR="00F07689" w:rsidRPr="00F07689" w:rsidRDefault="003E4236" w:rsidP="009B480C">
            <w:pPr>
              <w:pStyle w:val="TableText"/>
            </w:pPr>
            <w:r>
              <w:t>IB*2.0*576</w:t>
            </w:r>
          </w:p>
        </w:tc>
        <w:tc>
          <w:tcPr>
            <w:tcW w:w="791" w:type="pct"/>
          </w:tcPr>
          <w:p w14:paraId="0F2E04F2" w14:textId="77777777" w:rsidR="00F07689" w:rsidRPr="00F07689" w:rsidRDefault="008C6A3C" w:rsidP="009B480C">
            <w:pPr>
              <w:pStyle w:val="TableText"/>
            </w:pPr>
            <w:r>
              <w:t>N/A</w:t>
            </w:r>
          </w:p>
        </w:tc>
        <w:tc>
          <w:tcPr>
            <w:tcW w:w="792" w:type="pct"/>
          </w:tcPr>
          <w:p w14:paraId="738079A0" w14:textId="77777777" w:rsidR="00F07689" w:rsidRPr="00F07689" w:rsidRDefault="008C6A3C" w:rsidP="009B480C">
            <w:pPr>
              <w:pStyle w:val="TableText"/>
            </w:pPr>
            <w:r>
              <w:t>Nationally released version</w:t>
            </w:r>
          </w:p>
        </w:tc>
        <w:tc>
          <w:tcPr>
            <w:tcW w:w="890" w:type="pct"/>
          </w:tcPr>
          <w:p w14:paraId="22C6D46E" w14:textId="77777777" w:rsidR="00F07689" w:rsidRPr="00F07689" w:rsidRDefault="008C6A3C" w:rsidP="009B480C">
            <w:pPr>
              <w:pStyle w:val="TableText"/>
            </w:pPr>
            <w:r>
              <w:t>N/A</w:t>
            </w:r>
          </w:p>
        </w:tc>
        <w:tc>
          <w:tcPr>
            <w:tcW w:w="865" w:type="pct"/>
          </w:tcPr>
          <w:p w14:paraId="40D0499E" w14:textId="77777777" w:rsidR="00F07689" w:rsidRPr="00F07689" w:rsidRDefault="009B2E03" w:rsidP="009B480C">
            <w:pPr>
              <w:pStyle w:val="TableText"/>
            </w:pPr>
            <w:r>
              <w:t>N/A</w:t>
            </w:r>
          </w:p>
        </w:tc>
        <w:tc>
          <w:tcPr>
            <w:tcW w:w="789" w:type="pct"/>
          </w:tcPr>
          <w:p w14:paraId="11A4FB15" w14:textId="77777777" w:rsidR="00F07689" w:rsidRPr="00F07689" w:rsidRDefault="008C6A3C" w:rsidP="009B480C">
            <w:pPr>
              <w:pStyle w:val="TableText"/>
            </w:pPr>
            <w:r>
              <w:t>N/A</w:t>
            </w:r>
          </w:p>
        </w:tc>
      </w:tr>
    </w:tbl>
    <w:p w14:paraId="37FA78CF"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EF9625D" w14:textId="77777777" w:rsidR="0005370A" w:rsidRPr="0005370A" w:rsidRDefault="0005370A" w:rsidP="00AB1954">
      <w:pPr>
        <w:pStyle w:val="Heading3"/>
      </w:pPr>
      <w:bookmarkStart w:id="96" w:name="_Toc421540871"/>
      <w:bookmarkStart w:id="97" w:name="_Toc486338235"/>
      <w:r w:rsidRPr="0005370A">
        <w:t>Co</w:t>
      </w:r>
      <w:r w:rsidRPr="00C53D0C">
        <w:t>mmunica</w:t>
      </w:r>
      <w:r w:rsidRPr="0005370A">
        <w:t>tions</w:t>
      </w:r>
      <w:bookmarkEnd w:id="96"/>
      <w:bookmarkEnd w:id="97"/>
      <w:r w:rsidRPr="0005370A">
        <w:t xml:space="preserve"> </w:t>
      </w:r>
    </w:p>
    <w:p w14:paraId="603F3B76" w14:textId="77777777" w:rsidR="009B2E03" w:rsidRDefault="009B2E03" w:rsidP="009B2E03">
      <w:r w:rsidRPr="00312833">
        <w:t>T</w:t>
      </w:r>
      <w:r>
        <w:t>he sites that are participating in field testing (IOC) will use the “Patch Tracking” message in Outlook to communicate with the e</w:t>
      </w:r>
      <w:r w:rsidR="000D05AC">
        <w:t>Billing</w:t>
      </w:r>
      <w:r>
        <w:t xml:space="preserve"> eBusiness team, the developers, and product support personnel.</w:t>
      </w:r>
    </w:p>
    <w:p w14:paraId="74D9081D" w14:textId="77777777" w:rsidR="00D43555" w:rsidRPr="00C73322" w:rsidRDefault="00D43555" w:rsidP="00AB1954">
      <w:pPr>
        <w:pStyle w:val="Heading4"/>
      </w:pPr>
      <w:bookmarkStart w:id="98" w:name="_Toc486338236"/>
      <w:r w:rsidRPr="00C73322">
        <w:t>Deployment/Installation/Back-Out Checklist</w:t>
      </w:r>
      <w:bookmarkEnd w:id="98"/>
    </w:p>
    <w:p w14:paraId="4519301A" w14:textId="1A9E0D55" w:rsidR="00C73322" w:rsidRDefault="00C73322" w:rsidP="00370FF3">
      <w:r w:rsidRPr="00C73322">
        <w:t>The Release Management</w:t>
      </w:r>
      <w:r w:rsidR="007453E5">
        <w:t xml:space="preserve"> team </w:t>
      </w:r>
      <w:r w:rsidR="00565037">
        <w:t>will deploy the patch IB*2.0*577</w:t>
      </w:r>
      <w:r w:rsidRPr="00C73322">
        <w:t>, which is tracked</w:t>
      </w:r>
      <w:r w:rsidR="005302FE">
        <w:t xml:space="preserve"> nationally for all VAMCs</w:t>
      </w:r>
      <w:r w:rsidRPr="00C73322">
        <w:t xml:space="preserve"> in the NPM in Forum</w:t>
      </w:r>
      <w:r w:rsidR="005302FE">
        <w:t>.</w:t>
      </w:r>
      <w:r w:rsidRPr="00C73322">
        <w:t xml:space="preserve"> Forum automatically tracks the patches as they are installed in the different VAMC production systems. One can run a report in Forum to identify when the patch was </w:t>
      </w:r>
      <w:r w:rsidRPr="00C73322">
        <w:lastRenderedPageBreak/>
        <w:t xml:space="preserve">installed in the VistA production at each site, and by whom. A report can also be run, to identify which sites have not </w:t>
      </w:r>
      <w:r w:rsidR="005302FE">
        <w:t xml:space="preserve">currently </w:t>
      </w:r>
      <w:r w:rsidRPr="00C73322">
        <w:t>installed the patch in their VistA production system.</w:t>
      </w:r>
    </w:p>
    <w:p w14:paraId="7257411D" w14:textId="77777777" w:rsidR="00C73322" w:rsidRDefault="00C73322" w:rsidP="00370FF3"/>
    <w:p w14:paraId="1869F66A" w14:textId="77777777" w:rsidR="00370FF3" w:rsidRPr="00C73322" w:rsidRDefault="00C73322" w:rsidP="00370FF3">
      <w:r w:rsidRPr="00C73322">
        <w:t>Therefore, this information does not need to be manually tracked in the chart below.</w:t>
      </w:r>
    </w:p>
    <w:p w14:paraId="328C374A" w14:textId="30EC196F" w:rsidR="00D575F5" w:rsidRDefault="00D575F5" w:rsidP="00D575F5">
      <w:pPr>
        <w:pStyle w:val="Caption"/>
        <w:jc w:val="center"/>
      </w:pPr>
      <w:bookmarkStart w:id="99" w:name="_Toc479253804"/>
      <w:r>
        <w:t xml:space="preserve">Table </w:t>
      </w:r>
      <w:r w:rsidR="00824938">
        <w:t>7</w:t>
      </w:r>
      <w:r w:rsidRPr="005927B3">
        <w:t>: Deployment/Installation/Back-Out Checklist</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30"/>
        <w:gridCol w:w="2331"/>
        <w:gridCol w:w="2348"/>
      </w:tblGrid>
      <w:tr w:rsidR="004250FD" w14:paraId="5483BD37" w14:textId="77777777" w:rsidTr="009B480C">
        <w:tc>
          <w:tcPr>
            <w:tcW w:w="2341" w:type="dxa"/>
            <w:shd w:val="clear" w:color="auto" w:fill="CCCCCC"/>
          </w:tcPr>
          <w:p w14:paraId="1CB0821E" w14:textId="77777777" w:rsidR="004250FD" w:rsidRPr="00236972" w:rsidRDefault="004250FD" w:rsidP="009B480C">
            <w:pPr>
              <w:pStyle w:val="TableHeading"/>
            </w:pPr>
            <w:r w:rsidRPr="00236972">
              <w:t>Activity</w:t>
            </w:r>
          </w:p>
        </w:tc>
        <w:tc>
          <w:tcPr>
            <w:tcW w:w="2330" w:type="dxa"/>
            <w:shd w:val="clear" w:color="auto" w:fill="CCCCCC"/>
          </w:tcPr>
          <w:p w14:paraId="3A7C8B52" w14:textId="77777777" w:rsidR="004250FD" w:rsidRPr="00236972" w:rsidRDefault="004250FD" w:rsidP="009B480C">
            <w:pPr>
              <w:pStyle w:val="TableHeading"/>
            </w:pPr>
            <w:r w:rsidRPr="00236972">
              <w:t>Day</w:t>
            </w:r>
          </w:p>
        </w:tc>
        <w:tc>
          <w:tcPr>
            <w:tcW w:w="2331" w:type="dxa"/>
            <w:shd w:val="clear" w:color="auto" w:fill="CCCCCC"/>
          </w:tcPr>
          <w:p w14:paraId="56F99B22" w14:textId="77777777" w:rsidR="004250FD" w:rsidRPr="00236972" w:rsidRDefault="004250FD" w:rsidP="009B480C">
            <w:pPr>
              <w:pStyle w:val="TableHeading"/>
            </w:pPr>
            <w:r w:rsidRPr="00236972">
              <w:t>Time</w:t>
            </w:r>
          </w:p>
        </w:tc>
        <w:tc>
          <w:tcPr>
            <w:tcW w:w="2348" w:type="dxa"/>
            <w:shd w:val="clear" w:color="auto" w:fill="CCCCCC"/>
          </w:tcPr>
          <w:p w14:paraId="40C15918" w14:textId="77777777" w:rsidR="004250FD" w:rsidRPr="00236972" w:rsidRDefault="004250FD" w:rsidP="009B480C">
            <w:pPr>
              <w:pStyle w:val="TableHeading"/>
            </w:pPr>
            <w:r w:rsidRPr="00236972">
              <w:t>Individual who completed task</w:t>
            </w:r>
          </w:p>
        </w:tc>
      </w:tr>
      <w:tr w:rsidR="00C73322" w14:paraId="4CFAA74D" w14:textId="77777777" w:rsidTr="00D575F5">
        <w:trPr>
          <w:trHeight w:val="440"/>
        </w:trPr>
        <w:tc>
          <w:tcPr>
            <w:tcW w:w="2341" w:type="dxa"/>
            <w:shd w:val="clear" w:color="auto" w:fill="auto"/>
          </w:tcPr>
          <w:p w14:paraId="5CFEDC77" w14:textId="77777777" w:rsidR="00C73322" w:rsidRPr="00236972" w:rsidRDefault="00C73322" w:rsidP="009B480C">
            <w:pPr>
              <w:pStyle w:val="TableText"/>
            </w:pPr>
            <w:r w:rsidRPr="00236972">
              <w:t>Deploy</w:t>
            </w:r>
          </w:p>
        </w:tc>
        <w:tc>
          <w:tcPr>
            <w:tcW w:w="2330" w:type="dxa"/>
            <w:shd w:val="clear" w:color="auto" w:fill="auto"/>
          </w:tcPr>
          <w:p w14:paraId="385CBA3E"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8619D69"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33E0AA86" w14:textId="77777777" w:rsidR="00C73322" w:rsidRPr="00236972" w:rsidRDefault="00C73322" w:rsidP="009B480C">
            <w:pPr>
              <w:pStyle w:val="TableText"/>
              <w:rPr>
                <w:sz w:val="24"/>
              </w:rPr>
            </w:pPr>
            <w:r w:rsidRPr="00EC2861">
              <w:rPr>
                <w:sz w:val="24"/>
              </w:rPr>
              <w:t>N/A</w:t>
            </w:r>
          </w:p>
        </w:tc>
      </w:tr>
      <w:tr w:rsidR="00C73322" w14:paraId="3156E6A4" w14:textId="77777777" w:rsidTr="00D575F5">
        <w:trPr>
          <w:trHeight w:val="458"/>
        </w:trPr>
        <w:tc>
          <w:tcPr>
            <w:tcW w:w="2341" w:type="dxa"/>
            <w:shd w:val="clear" w:color="auto" w:fill="auto"/>
          </w:tcPr>
          <w:p w14:paraId="46F11FE5" w14:textId="77777777" w:rsidR="00C73322" w:rsidRPr="00236972" w:rsidRDefault="00C73322" w:rsidP="009B480C">
            <w:pPr>
              <w:pStyle w:val="TableText"/>
            </w:pPr>
            <w:r w:rsidRPr="00236972">
              <w:t>Install</w:t>
            </w:r>
          </w:p>
        </w:tc>
        <w:tc>
          <w:tcPr>
            <w:tcW w:w="2330" w:type="dxa"/>
            <w:shd w:val="clear" w:color="auto" w:fill="auto"/>
          </w:tcPr>
          <w:p w14:paraId="2B6175C0" w14:textId="77777777" w:rsidR="00C73322" w:rsidRPr="00236972" w:rsidRDefault="00C73322" w:rsidP="009B480C">
            <w:pPr>
              <w:pStyle w:val="TableText"/>
              <w:rPr>
                <w:sz w:val="24"/>
              </w:rPr>
            </w:pPr>
            <w:r w:rsidRPr="00EC2861">
              <w:rPr>
                <w:sz w:val="24"/>
              </w:rPr>
              <w:t>N/A</w:t>
            </w:r>
          </w:p>
        </w:tc>
        <w:tc>
          <w:tcPr>
            <w:tcW w:w="2331" w:type="dxa"/>
            <w:shd w:val="clear" w:color="auto" w:fill="auto"/>
          </w:tcPr>
          <w:p w14:paraId="54EF0D42" w14:textId="77777777" w:rsidR="00C73322" w:rsidRPr="00236972" w:rsidRDefault="00C73322" w:rsidP="009B480C">
            <w:pPr>
              <w:pStyle w:val="TableText"/>
              <w:rPr>
                <w:sz w:val="24"/>
              </w:rPr>
            </w:pPr>
            <w:r w:rsidRPr="00EC2861">
              <w:rPr>
                <w:sz w:val="24"/>
              </w:rPr>
              <w:t>N/A</w:t>
            </w:r>
          </w:p>
        </w:tc>
        <w:tc>
          <w:tcPr>
            <w:tcW w:w="2348" w:type="dxa"/>
            <w:shd w:val="clear" w:color="auto" w:fill="auto"/>
          </w:tcPr>
          <w:p w14:paraId="71DC73E4" w14:textId="77777777" w:rsidR="00C73322" w:rsidRPr="00236972" w:rsidRDefault="00C73322" w:rsidP="009B480C">
            <w:pPr>
              <w:pStyle w:val="TableText"/>
              <w:rPr>
                <w:sz w:val="24"/>
              </w:rPr>
            </w:pPr>
            <w:r w:rsidRPr="00EC2861">
              <w:rPr>
                <w:sz w:val="24"/>
              </w:rPr>
              <w:t>N/A</w:t>
            </w:r>
          </w:p>
        </w:tc>
      </w:tr>
    </w:tbl>
    <w:p w14:paraId="6DDB024F" w14:textId="77777777" w:rsidR="0005370A" w:rsidRPr="00F07689" w:rsidRDefault="0005370A" w:rsidP="00F07689">
      <w:pPr>
        <w:spacing w:before="120" w:after="120"/>
        <w:rPr>
          <w:sz w:val="24"/>
          <w:szCs w:val="20"/>
        </w:rPr>
      </w:pPr>
    </w:p>
    <w:p w14:paraId="05F47DA6" w14:textId="77777777" w:rsidR="00222831" w:rsidRDefault="00222831" w:rsidP="00740CBB">
      <w:pPr>
        <w:pStyle w:val="Heading1"/>
      </w:pPr>
      <w:bookmarkStart w:id="100" w:name="_Toc486338237"/>
      <w:r>
        <w:t>Installation</w:t>
      </w:r>
      <w:bookmarkEnd w:id="100"/>
    </w:p>
    <w:p w14:paraId="0F8500FB" w14:textId="77777777" w:rsidR="00AE5904" w:rsidRDefault="00361BE2" w:rsidP="00740CBB">
      <w:pPr>
        <w:pStyle w:val="Heading2"/>
      </w:pPr>
      <w:bookmarkStart w:id="101" w:name="_Toc486338238"/>
      <w:r w:rsidRPr="00A12A14">
        <w:t>Pre-installation</w:t>
      </w:r>
      <w:r>
        <w:t xml:space="preserve"> and </w:t>
      </w:r>
      <w:r w:rsidR="00AE5904">
        <w:t>System Requirements</w:t>
      </w:r>
      <w:bookmarkEnd w:id="101"/>
    </w:p>
    <w:p w14:paraId="7C834F15" w14:textId="2D6ED852" w:rsidR="00732090" w:rsidRDefault="00565037" w:rsidP="00732090">
      <w:r>
        <w:t>IB*2.0*577</w:t>
      </w:r>
      <w:r w:rsidR="00732090">
        <w:t>, a patch</w:t>
      </w:r>
      <w:r w:rsidR="001A6795">
        <w:t xml:space="preserve"> to the existing VistA Integrated Billing</w:t>
      </w:r>
      <w:r w:rsidR="007453E5">
        <w:t xml:space="preserve"> 2.0</w:t>
      </w:r>
      <w:r w:rsidR="00732090">
        <w:t xml:space="preserve"> package, is installable on a fully patched M(UMPS) VistA system and operates on the top of the VistA environment provided by the VistA infrastructure packages. The lat</w:t>
      </w:r>
      <w:r w:rsidR="005302FE">
        <w:t>t</w:t>
      </w:r>
      <w:r w:rsidR="00732090">
        <w:t>er provides utilities which communicate with the underlying operating system and hardware</w:t>
      </w:r>
      <w:r w:rsidR="00D9124C">
        <w:t>, thereby</w:t>
      </w:r>
      <w:r w:rsidR="001A6795">
        <w:t xml:space="preserve"> providing Integrated Billing</w:t>
      </w:r>
      <w:r w:rsidR="00732090">
        <w:t xml:space="preserve"> independence from variations in hardware and operating system.</w:t>
      </w:r>
    </w:p>
    <w:p w14:paraId="547DD7C8" w14:textId="77777777" w:rsidR="00AE5904" w:rsidRDefault="00AE5904" w:rsidP="00740CBB">
      <w:pPr>
        <w:pStyle w:val="Heading2"/>
      </w:pPr>
      <w:bookmarkStart w:id="102" w:name="_Toc471312571"/>
      <w:bookmarkStart w:id="103" w:name="_Toc471313695"/>
      <w:bookmarkStart w:id="104" w:name="_Toc471396349"/>
      <w:bookmarkStart w:id="105" w:name="_Toc471401623"/>
      <w:bookmarkStart w:id="106" w:name="_Toc471401791"/>
      <w:bookmarkStart w:id="107" w:name="_Toc486338239"/>
      <w:bookmarkEnd w:id="102"/>
      <w:bookmarkEnd w:id="103"/>
      <w:bookmarkEnd w:id="104"/>
      <w:bookmarkEnd w:id="105"/>
      <w:bookmarkEnd w:id="106"/>
      <w:r>
        <w:t>Platform Installation and Preparation</w:t>
      </w:r>
      <w:bookmarkEnd w:id="107"/>
    </w:p>
    <w:p w14:paraId="7ACBF6EF" w14:textId="194347D4" w:rsidR="00732090" w:rsidRDefault="007453E5" w:rsidP="00732090">
      <w:r>
        <w:t xml:space="preserve">Refer to </w:t>
      </w:r>
      <w:r w:rsidR="000D05AC">
        <w:t xml:space="preserve">the </w:t>
      </w:r>
      <w:r w:rsidR="006D5670">
        <w:t>IB*2.0*577</w:t>
      </w:r>
      <w:r w:rsidR="00D9124C">
        <w:t xml:space="preserve"> documentation on the National Patch Module (NPM) </w:t>
      </w:r>
      <w:r w:rsidR="009D0689">
        <w:t>i</w:t>
      </w:r>
      <w:r w:rsidR="00D9124C">
        <w:t xml:space="preserve">n Forum for the detailed installation </w:t>
      </w:r>
      <w:r w:rsidR="000530D8">
        <w:t>instructions</w:t>
      </w:r>
      <w:r w:rsidR="00D9124C">
        <w:t xml:space="preserve">. These </w:t>
      </w:r>
      <w:r w:rsidR="000530D8">
        <w:t>instructions</w:t>
      </w:r>
      <w:r w:rsidR="00D9124C">
        <w:t xml:space="preserve"> would include any </w:t>
      </w:r>
      <w:r w:rsidR="00F11DF6">
        <w:t>pre-installation</w:t>
      </w:r>
      <w:r w:rsidR="00D9124C">
        <w:t xml:space="preserve"> steps if applicable.</w:t>
      </w:r>
    </w:p>
    <w:p w14:paraId="7DCD2283" w14:textId="77777777" w:rsidR="00AE5904" w:rsidRDefault="00AE5904" w:rsidP="00740CBB">
      <w:pPr>
        <w:pStyle w:val="Heading2"/>
      </w:pPr>
      <w:bookmarkStart w:id="108" w:name="_Toc471312573"/>
      <w:bookmarkStart w:id="109" w:name="_Toc471313697"/>
      <w:bookmarkStart w:id="110" w:name="_Toc471396351"/>
      <w:bookmarkStart w:id="111" w:name="_Toc471401625"/>
      <w:bookmarkStart w:id="112" w:name="_Toc471401793"/>
      <w:bookmarkStart w:id="113" w:name="_Toc471312574"/>
      <w:bookmarkStart w:id="114" w:name="_Toc471313698"/>
      <w:bookmarkStart w:id="115" w:name="_Toc471396352"/>
      <w:bookmarkStart w:id="116" w:name="_Toc471401626"/>
      <w:bookmarkStart w:id="117" w:name="_Toc471401794"/>
      <w:bookmarkStart w:id="118" w:name="_Toc471312575"/>
      <w:bookmarkStart w:id="119" w:name="_Toc471313699"/>
      <w:bookmarkStart w:id="120" w:name="_Toc471396353"/>
      <w:bookmarkStart w:id="121" w:name="_Toc471401627"/>
      <w:bookmarkStart w:id="122" w:name="_Toc471401795"/>
      <w:bookmarkStart w:id="123" w:name="_Toc471312576"/>
      <w:bookmarkStart w:id="124" w:name="_Toc471313700"/>
      <w:bookmarkStart w:id="125" w:name="_Toc471396354"/>
      <w:bookmarkStart w:id="126" w:name="_Toc471401628"/>
      <w:bookmarkStart w:id="127" w:name="_Toc471401796"/>
      <w:bookmarkStart w:id="128" w:name="_Toc471312577"/>
      <w:bookmarkStart w:id="129" w:name="_Toc471313701"/>
      <w:bookmarkStart w:id="130" w:name="_Toc471396355"/>
      <w:bookmarkStart w:id="131" w:name="_Toc471401629"/>
      <w:bookmarkStart w:id="132" w:name="_Toc471401797"/>
      <w:bookmarkStart w:id="133" w:name="_Toc471312578"/>
      <w:bookmarkStart w:id="134" w:name="_Toc471313702"/>
      <w:bookmarkStart w:id="135" w:name="_Toc471396356"/>
      <w:bookmarkStart w:id="136" w:name="_Toc471401630"/>
      <w:bookmarkStart w:id="137" w:name="_Toc471401798"/>
      <w:bookmarkStart w:id="138" w:name="_Toc471312579"/>
      <w:bookmarkStart w:id="139" w:name="_Toc471313703"/>
      <w:bookmarkStart w:id="140" w:name="_Toc471396357"/>
      <w:bookmarkStart w:id="141" w:name="_Toc471401631"/>
      <w:bookmarkStart w:id="142" w:name="_Toc471401799"/>
      <w:bookmarkStart w:id="143" w:name="_Toc471312580"/>
      <w:bookmarkStart w:id="144" w:name="_Toc471313704"/>
      <w:bookmarkStart w:id="145" w:name="_Toc471396358"/>
      <w:bookmarkStart w:id="146" w:name="_Toc471401632"/>
      <w:bookmarkStart w:id="147" w:name="_Toc471401800"/>
      <w:bookmarkStart w:id="148" w:name="_Toc471312581"/>
      <w:bookmarkStart w:id="149" w:name="_Toc471313705"/>
      <w:bookmarkStart w:id="150" w:name="_Toc471396359"/>
      <w:bookmarkStart w:id="151" w:name="_Toc471401633"/>
      <w:bookmarkStart w:id="152" w:name="_Toc471401801"/>
      <w:bookmarkStart w:id="153" w:name="_Toc471312582"/>
      <w:bookmarkStart w:id="154" w:name="_Toc471313706"/>
      <w:bookmarkStart w:id="155" w:name="_Toc471396360"/>
      <w:bookmarkStart w:id="156" w:name="_Toc471401634"/>
      <w:bookmarkStart w:id="157" w:name="_Toc471401802"/>
      <w:bookmarkStart w:id="158" w:name="_Toc471312583"/>
      <w:bookmarkStart w:id="159" w:name="_Toc471313707"/>
      <w:bookmarkStart w:id="160" w:name="_Toc471396361"/>
      <w:bookmarkStart w:id="161" w:name="_Toc471401635"/>
      <w:bookmarkStart w:id="162" w:name="_Toc471401803"/>
      <w:bookmarkStart w:id="163" w:name="_Toc471312584"/>
      <w:bookmarkStart w:id="164" w:name="_Toc471313708"/>
      <w:bookmarkStart w:id="165" w:name="_Toc471396362"/>
      <w:bookmarkStart w:id="166" w:name="_Toc471401636"/>
      <w:bookmarkStart w:id="167" w:name="_Toc471401804"/>
      <w:bookmarkStart w:id="168" w:name="_Toc471312585"/>
      <w:bookmarkStart w:id="169" w:name="_Toc471313709"/>
      <w:bookmarkStart w:id="170" w:name="_Toc471396363"/>
      <w:bookmarkStart w:id="171" w:name="_Toc471401637"/>
      <w:bookmarkStart w:id="172" w:name="_Toc471401805"/>
      <w:bookmarkStart w:id="173" w:name="_Toc471312586"/>
      <w:bookmarkStart w:id="174" w:name="_Toc471313710"/>
      <w:bookmarkStart w:id="175" w:name="_Toc471396364"/>
      <w:bookmarkStart w:id="176" w:name="_Toc471401638"/>
      <w:bookmarkStart w:id="177" w:name="_Toc471401806"/>
      <w:bookmarkStart w:id="178" w:name="_Toc486338240"/>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r>
        <w:t xml:space="preserve">Download and </w:t>
      </w:r>
      <w:r w:rsidR="00700E4A">
        <w:t>Extract Files</w:t>
      </w:r>
      <w:bookmarkEnd w:id="178"/>
    </w:p>
    <w:p w14:paraId="41B1E6D0" w14:textId="4773DA99" w:rsidR="00AE5904" w:rsidRPr="00492BC7" w:rsidRDefault="007453E5" w:rsidP="00312833">
      <w:r>
        <w:t xml:space="preserve">Refer to </w:t>
      </w:r>
      <w:r w:rsidR="000D05AC">
        <w:t xml:space="preserve">the </w:t>
      </w:r>
      <w:r w:rsidR="006D5670">
        <w:t>IB*2.0*577</w:t>
      </w:r>
      <w:r w:rsidR="00D9124C">
        <w:t xml:space="preserve"> documentation on the NPM </w:t>
      </w:r>
      <w:r w:rsidR="009707F7">
        <w:t xml:space="preserve">to find related documentation that can be </w:t>
      </w:r>
      <w:r w:rsidR="00D9124C">
        <w:t>download</w:t>
      </w:r>
      <w:r w:rsidR="009707F7">
        <w:t>ed</w:t>
      </w:r>
      <w:r w:rsidR="00D9124C">
        <w:t xml:space="preserve">. </w:t>
      </w:r>
      <w:r w:rsidR="006D5670">
        <w:t>IB*2.0*577</w:t>
      </w:r>
      <w:r w:rsidR="009707F7">
        <w:t xml:space="preserve"> will be transmitted via a PackMan message and can be pulled from the NPM. It is not a host file, and therefore does not need to be downloaded separately.</w:t>
      </w:r>
    </w:p>
    <w:p w14:paraId="60F090B4" w14:textId="77777777" w:rsidR="00AE5904" w:rsidRDefault="00AE5904" w:rsidP="00740CBB">
      <w:pPr>
        <w:pStyle w:val="Heading2"/>
      </w:pPr>
      <w:bookmarkStart w:id="179" w:name="_Ref436642459"/>
      <w:bookmarkStart w:id="180" w:name="_Toc486338241"/>
      <w:r>
        <w:t>Database Creation</w:t>
      </w:r>
      <w:bookmarkEnd w:id="179"/>
      <w:bookmarkEnd w:id="180"/>
    </w:p>
    <w:p w14:paraId="07EC2CC0" w14:textId="281945AA" w:rsidR="00AE5904" w:rsidRPr="00492BC7" w:rsidRDefault="006D5670" w:rsidP="00312833">
      <w:r>
        <w:t>IB*2.0*577</w:t>
      </w:r>
      <w:r w:rsidR="007453E5">
        <w:t xml:space="preserve"> </w:t>
      </w:r>
      <w:r w:rsidR="00A26450">
        <w:t>modi</w:t>
      </w:r>
      <w:r w:rsidR="007453E5">
        <w:t>f</w:t>
      </w:r>
      <w:r w:rsidR="009D0689">
        <w:t>ies</w:t>
      </w:r>
      <w:r w:rsidR="007453E5">
        <w:t xml:space="preserve"> </w:t>
      </w:r>
      <w:r w:rsidR="00A26450">
        <w:t>th</w:t>
      </w:r>
      <w:r w:rsidR="007453E5">
        <w:t>e VistA database. All changes can</w:t>
      </w:r>
      <w:r w:rsidR="00A26450">
        <w:t xml:space="preserve"> be found on the NPM documentation for this patch.</w:t>
      </w:r>
      <w:r w:rsidR="005C09F2" w:rsidRPr="00492BC7">
        <w:t xml:space="preserve"> </w:t>
      </w:r>
    </w:p>
    <w:p w14:paraId="0A7D6FAF" w14:textId="77777777" w:rsidR="00AE5904" w:rsidRDefault="00AE5904" w:rsidP="00740CBB">
      <w:pPr>
        <w:pStyle w:val="Heading2"/>
      </w:pPr>
      <w:bookmarkStart w:id="181" w:name="_Toc486338242"/>
      <w:r>
        <w:t>Installation Scripts</w:t>
      </w:r>
      <w:bookmarkEnd w:id="181"/>
    </w:p>
    <w:p w14:paraId="09324D51" w14:textId="6B6441A6" w:rsidR="00AE5904" w:rsidRPr="00C730AB" w:rsidRDefault="00A26450" w:rsidP="00312833">
      <w:r>
        <w:t>No installation scr</w:t>
      </w:r>
      <w:r w:rsidR="006D5670">
        <w:t>ipts are needed for IB*2.0*577</w:t>
      </w:r>
      <w:r w:rsidR="000530D8">
        <w:t xml:space="preserve"> installation</w:t>
      </w:r>
      <w:r>
        <w:t>.</w:t>
      </w:r>
    </w:p>
    <w:p w14:paraId="69CCCD80" w14:textId="77777777" w:rsidR="00AE5904" w:rsidRDefault="00AE5904" w:rsidP="00740CBB">
      <w:pPr>
        <w:pStyle w:val="Heading2"/>
      </w:pPr>
      <w:bookmarkStart w:id="182" w:name="_Toc486338243"/>
      <w:r>
        <w:t>Cron Scripts</w:t>
      </w:r>
      <w:bookmarkEnd w:id="182"/>
    </w:p>
    <w:p w14:paraId="70F4A6BA" w14:textId="159775CB" w:rsidR="00676736" w:rsidRPr="00C730AB" w:rsidRDefault="000530D8" w:rsidP="00312833">
      <w:r w:rsidRPr="00312833">
        <w:t>No Cron scr</w:t>
      </w:r>
      <w:r w:rsidR="006D5670">
        <w:t>ipts are needed for IB*2.0*577</w:t>
      </w:r>
      <w:r w:rsidRPr="00312833">
        <w:t xml:space="preserve"> installation.</w:t>
      </w:r>
    </w:p>
    <w:p w14:paraId="74AD17BE" w14:textId="77777777" w:rsidR="00FD7CA6" w:rsidRDefault="00BE065D" w:rsidP="00740CBB">
      <w:pPr>
        <w:pStyle w:val="Heading2"/>
      </w:pPr>
      <w:bookmarkStart w:id="183" w:name="_Toc486338244"/>
      <w:r>
        <w:lastRenderedPageBreak/>
        <w:t xml:space="preserve">Access Requirements and </w:t>
      </w:r>
      <w:r w:rsidR="005C5ED2">
        <w:t>Skills Needed for the Installation</w:t>
      </w:r>
      <w:bookmarkEnd w:id="183"/>
    </w:p>
    <w:p w14:paraId="2F74BCB3" w14:textId="4D508909" w:rsidR="005C5ED2" w:rsidRPr="005C5ED2" w:rsidRDefault="00F46BBA" w:rsidP="00312833">
      <w:r>
        <w:t>The following staff</w:t>
      </w:r>
      <w:r w:rsidR="000530D8">
        <w:t xml:space="preserve"> will need access to the PackMan mes</w:t>
      </w:r>
      <w:r w:rsidR="007453E5">
        <w:t>sage containing the IB*2.0*</w:t>
      </w:r>
      <w:r w:rsidR="006D5670">
        <w:t>577</w:t>
      </w:r>
      <w:r w:rsidR="000530D8">
        <w:t xml:space="preserve"> patch or </w:t>
      </w:r>
      <w:r w:rsidR="00D62E5D">
        <w:t xml:space="preserve">to </w:t>
      </w:r>
      <w:r w:rsidR="000530D8">
        <w:t xml:space="preserve">Forum’s NPM for downloading the </w:t>
      </w:r>
      <w:r w:rsidR="006D5670">
        <w:t>nationally released IB*2.0*577</w:t>
      </w:r>
      <w:r w:rsidR="000530D8">
        <w:t xml:space="preserve"> patch.</w:t>
      </w:r>
      <w:r w:rsidRPr="00F46BBA">
        <w:t xml:space="preserve"> </w:t>
      </w:r>
      <w:r>
        <w:t xml:space="preserve">The software is to be installed by the site’s or region’s </w:t>
      </w:r>
      <w:r w:rsidR="005F5515">
        <w:t>designated:</w:t>
      </w:r>
      <w:r>
        <w:t xml:space="preserve"> </w:t>
      </w:r>
      <w:r w:rsidR="00F70A05" w:rsidRPr="005F5515">
        <w:t xml:space="preserve">VA OI&amp;T IT OPERATIONS SERVICE, Enterprise Service Lines, Vista Applications </w:t>
      </w:r>
      <w:r w:rsidR="000D05AC" w:rsidRPr="005F5515">
        <w:t>Division</w:t>
      </w:r>
      <w:r w:rsidR="005F5515">
        <w:rPr>
          <w:rStyle w:val="FootnoteReference"/>
        </w:rPr>
        <w:footnoteReference w:id="2"/>
      </w:r>
      <w:r w:rsidR="005F5515">
        <w:t>.</w:t>
      </w:r>
    </w:p>
    <w:p w14:paraId="2C77EF6D" w14:textId="77777777" w:rsidR="00FD7CA6" w:rsidRPr="00FD6DC0" w:rsidRDefault="00FD7CA6" w:rsidP="00740CBB">
      <w:pPr>
        <w:pStyle w:val="Heading2"/>
      </w:pPr>
      <w:bookmarkStart w:id="184" w:name="_Toc416250739"/>
      <w:bookmarkStart w:id="185" w:name="_Toc430174019"/>
      <w:bookmarkStart w:id="186" w:name="_Toc486338245"/>
      <w:r w:rsidRPr="00FD6DC0">
        <w:t>Installation Procedure</w:t>
      </w:r>
      <w:bookmarkEnd w:id="184"/>
      <w:bookmarkEnd w:id="185"/>
      <w:bookmarkEnd w:id="186"/>
    </w:p>
    <w:p w14:paraId="1028FE9E" w14:textId="4F2F9150" w:rsidR="0098694A" w:rsidRDefault="00932CFD" w:rsidP="00312833">
      <w:r>
        <w:t xml:space="preserve">Refer to </w:t>
      </w:r>
      <w:r w:rsidR="000D05AC">
        <w:t xml:space="preserve">the </w:t>
      </w:r>
      <w:r w:rsidR="006D5670">
        <w:t>IB*2.0*577</w:t>
      </w:r>
      <w:r w:rsidR="000530D8" w:rsidRPr="000530D8">
        <w:t xml:space="preserve"> documentation on the </w:t>
      </w:r>
      <w:r w:rsidR="000530D8">
        <w:t xml:space="preserve">NPM </w:t>
      </w:r>
      <w:r w:rsidR="000530D8" w:rsidRPr="000530D8">
        <w:t xml:space="preserve">for detailed installation </w:t>
      </w:r>
      <w:r w:rsidR="000530D8">
        <w:t>instructions</w:t>
      </w:r>
      <w:r w:rsidR="00312833">
        <w:t>.</w:t>
      </w:r>
    </w:p>
    <w:p w14:paraId="0FBCBAF5" w14:textId="77777777" w:rsidR="009123D8" w:rsidRDefault="009123D8" w:rsidP="00740CBB">
      <w:pPr>
        <w:pStyle w:val="Heading2"/>
      </w:pPr>
      <w:bookmarkStart w:id="187" w:name="_Toc486338246"/>
      <w:r>
        <w:t>Installation Verification Procedure</w:t>
      </w:r>
      <w:bookmarkEnd w:id="187"/>
    </w:p>
    <w:p w14:paraId="565D0E63" w14:textId="323B6D11" w:rsidR="009A003E" w:rsidRDefault="00932CFD" w:rsidP="00312833">
      <w:r>
        <w:t xml:space="preserve">Refer to </w:t>
      </w:r>
      <w:r w:rsidR="000D05AC">
        <w:t xml:space="preserve">the </w:t>
      </w:r>
      <w:r w:rsidR="006D5670">
        <w:t>IB*2.0*577</w:t>
      </w:r>
      <w:r w:rsidR="000530D8">
        <w:t xml:space="preserve"> documentation on the </w:t>
      </w:r>
      <w:r w:rsidR="007206A5">
        <w:t>NPM</w:t>
      </w:r>
      <w:r w:rsidR="000530D8">
        <w:t xml:space="preserve"> for </w:t>
      </w:r>
      <w:r w:rsidR="0054476B">
        <w:t xml:space="preserve">specific and </w:t>
      </w:r>
      <w:r w:rsidR="000530D8">
        <w:t>detailed installation instructions. These instructions include any p</w:t>
      </w:r>
      <w:r w:rsidR="007206A5">
        <w:t>ost</w:t>
      </w:r>
      <w:r w:rsidR="000530D8">
        <w:t xml:space="preserve"> i</w:t>
      </w:r>
      <w:r w:rsidR="0054476B">
        <w:t>nstallation steps if applicable.</w:t>
      </w:r>
      <w:r w:rsidR="00EE63AB">
        <w:t xml:space="preserve"> The post installation routine will accomplish the following:</w:t>
      </w:r>
    </w:p>
    <w:p w14:paraId="77AF901E" w14:textId="77777777" w:rsidR="0054476B" w:rsidRDefault="0054476B" w:rsidP="00312833"/>
    <w:p w14:paraId="782D9ADA" w14:textId="77777777" w:rsidR="00EE63AB" w:rsidRDefault="0054476B" w:rsidP="0054476B">
      <w:pPr>
        <w:pStyle w:val="ListParagraph"/>
        <w:numPr>
          <w:ilvl w:val="0"/>
          <w:numId w:val="17"/>
        </w:numPr>
      </w:pPr>
      <w:r>
        <w:t>Recompile the Billing Screen Input Templates</w:t>
      </w:r>
    </w:p>
    <w:p w14:paraId="0FB2E717" w14:textId="593A3E3E" w:rsidR="0054476B" w:rsidRDefault="0054476B" w:rsidP="0054476B">
      <w:pPr>
        <w:pStyle w:val="ListParagraph"/>
        <w:numPr>
          <w:ilvl w:val="0"/>
          <w:numId w:val="17"/>
        </w:numPr>
      </w:pPr>
      <w:r>
        <w:t>Survey the Form Type file (#353) to identify which form numbers</w:t>
      </w:r>
      <w:r w:rsidR="00EE63AB">
        <w:t xml:space="preserve"> </w:t>
      </w:r>
      <w:r>
        <w:t>are being used at the site. Th</w:t>
      </w:r>
      <w:r w:rsidR="00EE63AB">
        <w:t>en an email will be</w:t>
      </w:r>
      <w:r>
        <w:t xml:space="preserve"> sent to the MCCF EDI TAS Development Team with this information</w:t>
      </w:r>
      <w:r w:rsidR="00EE63AB">
        <w:t xml:space="preserve"> </w:t>
      </w:r>
      <w:r>
        <w:t>which will be used to determine which form numbers are available</w:t>
      </w:r>
      <w:r w:rsidR="00EE63AB">
        <w:t xml:space="preserve"> </w:t>
      </w:r>
      <w:r>
        <w:t>for future development.</w:t>
      </w:r>
    </w:p>
    <w:p w14:paraId="4AFDCD72" w14:textId="77777777" w:rsidR="00222FCD" w:rsidRDefault="00222FCD" w:rsidP="003D76CF">
      <w:pPr>
        <w:pStyle w:val="Heading2"/>
      </w:pPr>
      <w:bookmarkStart w:id="188" w:name="_Toc486338247"/>
      <w:r>
        <w:t>System Configuration</w:t>
      </w:r>
      <w:bookmarkEnd w:id="188"/>
    </w:p>
    <w:p w14:paraId="05BF7452" w14:textId="77777777" w:rsidR="005F3344" w:rsidRPr="00812CDB" w:rsidRDefault="007206A5" w:rsidP="00312833">
      <w:r>
        <w:t>No system configuration changes are required for this patch.</w:t>
      </w:r>
    </w:p>
    <w:p w14:paraId="1CDE2277" w14:textId="77777777" w:rsidR="00222FCD" w:rsidRDefault="00222FCD" w:rsidP="003D76CF">
      <w:pPr>
        <w:pStyle w:val="Heading2"/>
      </w:pPr>
      <w:bookmarkStart w:id="189" w:name="_Toc486338248"/>
      <w:r>
        <w:t>Database Tuning</w:t>
      </w:r>
      <w:bookmarkEnd w:id="189"/>
    </w:p>
    <w:p w14:paraId="10DCFD4F" w14:textId="77777777" w:rsidR="00222FCD" w:rsidRPr="00812CDB" w:rsidRDefault="007206A5" w:rsidP="00312833">
      <w:r>
        <w:t>No reconfiguration of the VistA database, memory allocations or other resources is necessary.</w:t>
      </w:r>
    </w:p>
    <w:p w14:paraId="08EE7D85" w14:textId="77777777" w:rsidR="00AE5904" w:rsidRDefault="00685E4D" w:rsidP="00740CBB">
      <w:pPr>
        <w:pStyle w:val="Heading1"/>
      </w:pPr>
      <w:bookmarkStart w:id="190" w:name="_Toc486338249"/>
      <w:r>
        <w:t>Back-Out</w:t>
      </w:r>
      <w:r w:rsidR="00AE5904">
        <w:t xml:space="preserve"> Procedure</w:t>
      </w:r>
      <w:bookmarkEnd w:id="190"/>
    </w:p>
    <w:p w14:paraId="4052052C" w14:textId="0AB8A757" w:rsidR="00A72A1B" w:rsidRDefault="007206A5" w:rsidP="00312833">
      <w:r>
        <w:t>Back-Out pertains to a return to the last known good operational state of the software and appropriate platform settings.</w:t>
      </w:r>
    </w:p>
    <w:p w14:paraId="259D491F" w14:textId="77777777" w:rsidR="00455CB4" w:rsidRDefault="00685E4D" w:rsidP="00740CBB">
      <w:pPr>
        <w:pStyle w:val="Heading2"/>
      </w:pPr>
      <w:bookmarkStart w:id="191" w:name="_Toc486338250"/>
      <w:r>
        <w:t>Back-Out</w:t>
      </w:r>
      <w:r w:rsidR="00455CB4">
        <w:t xml:space="preserve"> Strategy</w:t>
      </w:r>
      <w:bookmarkEnd w:id="191"/>
    </w:p>
    <w:p w14:paraId="1E0ADF77" w14:textId="5E03A0EE" w:rsidR="007206A5" w:rsidRDefault="00023394" w:rsidP="007206A5">
      <w:r>
        <w:rPr>
          <w:color w:val="000000" w:themeColor="text1"/>
        </w:rPr>
        <w:t>Although it is unlikely due to care in collecting, elaborating, and designing approved user stories, followed by multiple testing stages (Developer Unit Testing, Component Integration Testing, SQA Testing, and User Acceptance Testing)</w:t>
      </w:r>
      <w:r w:rsidR="00A61AAD">
        <w:t>,</w:t>
      </w:r>
      <w:r w:rsidR="007206A5">
        <w:rPr>
          <w:i/>
        </w:rPr>
        <w:t xml:space="preserve"> </w:t>
      </w:r>
      <w:r w:rsidR="007206A5" w:rsidRPr="00AA22D6">
        <w:t xml:space="preserve">a </w:t>
      </w:r>
      <w:r w:rsidR="007206A5">
        <w:t>back-out decision due to major issues with this patch could occur</w:t>
      </w:r>
      <w:r w:rsidR="006835CA">
        <w:t xml:space="preserve">. </w:t>
      </w:r>
      <w:r w:rsidR="00D62E5D">
        <w:t>A decision to back out could be made</w:t>
      </w:r>
      <w:r w:rsidR="007206A5">
        <w:t xml:space="preserve"> during site Mirror Testing, Site Production Testing or</w:t>
      </w:r>
      <w:r w:rsidR="007206A5" w:rsidRPr="00D8257D">
        <w:t xml:space="preserve"> after National Release to the f</w:t>
      </w:r>
      <w:r w:rsidR="007206A5">
        <w:t>ield</w:t>
      </w:r>
      <w:r w:rsidR="007206A5" w:rsidRPr="00D8257D">
        <w:t xml:space="preserve"> (VAMCs)</w:t>
      </w:r>
      <w:r w:rsidR="007206A5">
        <w:t xml:space="preserve">. The </w:t>
      </w:r>
      <w:r w:rsidR="00804C09">
        <w:t xml:space="preserve">best </w:t>
      </w:r>
      <w:r w:rsidR="007206A5">
        <w:t>strategy</w:t>
      </w:r>
      <w:r w:rsidR="00D62E5D">
        <w:t xml:space="preserve"> decision</w:t>
      </w:r>
      <w:r w:rsidR="007206A5">
        <w:t xml:space="preserve"> </w:t>
      </w:r>
      <w:r w:rsidR="00D62E5D">
        <w:t>is dependent</w:t>
      </w:r>
      <w:r w:rsidR="007206A5">
        <w:t xml:space="preserve"> on </w:t>
      </w:r>
      <w:r w:rsidR="00D62E5D">
        <w:t>the stage of testing during which</w:t>
      </w:r>
      <w:r w:rsidR="007206A5">
        <w:t xml:space="preserve"> the decision is made.</w:t>
      </w:r>
    </w:p>
    <w:p w14:paraId="222B8A5C" w14:textId="77777777" w:rsidR="007206A5" w:rsidRPr="0035510F" w:rsidRDefault="0035510F" w:rsidP="006835CA">
      <w:pPr>
        <w:pStyle w:val="Heading3"/>
      </w:pPr>
      <w:bookmarkStart w:id="192" w:name="_Toc478982588"/>
      <w:bookmarkStart w:id="193" w:name="_Toc486338251"/>
      <w:r w:rsidRPr="0035510F">
        <w:lastRenderedPageBreak/>
        <w:t>Mirror Testing or Site Production Testing</w:t>
      </w:r>
      <w:bookmarkEnd w:id="192"/>
      <w:bookmarkEnd w:id="193"/>
    </w:p>
    <w:p w14:paraId="7B67B2C0" w14:textId="63340544" w:rsidR="00D8257D" w:rsidRDefault="007206A5" w:rsidP="007206A5">
      <w:r>
        <w:t xml:space="preserve">If during </w:t>
      </w:r>
      <w:r w:rsidR="00D8257D">
        <w:t xml:space="preserve">Mirror testing or </w:t>
      </w:r>
      <w:r>
        <w:t>Site Pro</w:t>
      </w:r>
      <w:r w:rsidR="00FE4A49">
        <w:t xml:space="preserve">duction Testing, </w:t>
      </w:r>
      <w:r>
        <w:t xml:space="preserve">a new version of </w:t>
      </w:r>
      <w:r w:rsidR="00D62E5D">
        <w:t>a</w:t>
      </w:r>
      <w:r>
        <w:t xml:space="preserve"> </w:t>
      </w:r>
      <w:r w:rsidR="00D62E5D">
        <w:t xml:space="preserve">defect correcting </w:t>
      </w:r>
      <w:r>
        <w:t xml:space="preserve">test patch </w:t>
      </w:r>
      <w:r w:rsidR="00D62E5D">
        <w:t>is</w:t>
      </w:r>
      <w:r>
        <w:t xml:space="preserve"> produced, retested and successfully pass</w:t>
      </w:r>
      <w:r w:rsidR="007B25C8">
        <w:t>es</w:t>
      </w:r>
      <w:r>
        <w:t xml:space="preserve"> development team testing</w:t>
      </w:r>
      <w:r w:rsidR="007B25C8">
        <w:t>,</w:t>
      </w:r>
      <w:r>
        <w:t xml:space="preserve"> </w:t>
      </w:r>
      <w:r w:rsidR="007B25C8">
        <w:t>it</w:t>
      </w:r>
      <w:r>
        <w:t xml:space="preserve"> </w:t>
      </w:r>
      <w:r w:rsidR="007B25C8">
        <w:t xml:space="preserve">will be </w:t>
      </w:r>
      <w:r>
        <w:t>resubmitted to the site for testing.</w:t>
      </w:r>
      <w:r w:rsidR="00D8257D">
        <w:t xml:space="preserve"> </w:t>
      </w:r>
      <w:r w:rsidR="00FE4A49">
        <w:t>If the patch produce</w:t>
      </w:r>
      <w:r w:rsidR="007B25C8">
        <w:t>s</w:t>
      </w:r>
      <w:r w:rsidR="00FE4A49">
        <w:t xml:space="preserve"> catastrophic problems, a new version of the patch c</w:t>
      </w:r>
      <w:r w:rsidR="007B25C8">
        <w:t>an</w:t>
      </w:r>
      <w:r w:rsidR="00FE4A49">
        <w:t xml:space="preserve"> be use</w:t>
      </w:r>
      <w:r w:rsidR="00A16887">
        <w:t xml:space="preserve">d to </w:t>
      </w:r>
      <w:r w:rsidR="00FE4A49">
        <w:t>restore the build components to their pre-patch condition.</w:t>
      </w:r>
    </w:p>
    <w:p w14:paraId="54416CF4" w14:textId="77777777" w:rsidR="00D8257D" w:rsidRPr="0035510F" w:rsidRDefault="0035510F" w:rsidP="006835CA">
      <w:pPr>
        <w:pStyle w:val="Heading3"/>
      </w:pPr>
      <w:bookmarkStart w:id="194" w:name="_Toc478982589"/>
      <w:bookmarkStart w:id="195" w:name="_Toc486338252"/>
      <w:r w:rsidRPr="0035510F">
        <w:t>After National Release but During the Designated Support Period</w:t>
      </w:r>
      <w:bookmarkEnd w:id="194"/>
      <w:bookmarkEnd w:id="195"/>
    </w:p>
    <w:p w14:paraId="6CFDBA8F" w14:textId="68AA609E" w:rsidR="0035510F" w:rsidRDefault="007206A5" w:rsidP="007206A5">
      <w:r>
        <w:t>If the defect</w:t>
      </w:r>
      <w:r w:rsidR="005F5515">
        <w:t>(</w:t>
      </w:r>
      <w:r>
        <w:t>s</w:t>
      </w:r>
      <w:r w:rsidR="005F5515">
        <w:t>)</w:t>
      </w:r>
      <w:r>
        <w:t xml:space="preserve"> were not discovered until after national release but during the </w:t>
      </w:r>
      <w:r w:rsidR="005F5515">
        <w:t xml:space="preserve">designated </w:t>
      </w:r>
      <w:r>
        <w:t xml:space="preserve">support period, a new patch will be entered into the National Patch Module </w:t>
      </w:r>
      <w:r w:rsidR="009D0689">
        <w:t>i</w:t>
      </w:r>
      <w:r>
        <w:t xml:space="preserve">n Forum and </w:t>
      </w:r>
      <w:r w:rsidR="007B25C8">
        <w:t xml:space="preserve">will </w:t>
      </w:r>
      <w:r>
        <w:t>go through all the necessa</w:t>
      </w:r>
      <w:r w:rsidR="00D8257D">
        <w:t xml:space="preserve">ry milestone reviews etc. as a patch for a </w:t>
      </w:r>
      <w:r>
        <w:t>patch.</w:t>
      </w:r>
      <w:r w:rsidR="00D8257D">
        <w:t xml:space="preserve"> It is up to VA OI&amp;T and product support whether this new patch would be defined as an emergency patch or not.</w:t>
      </w:r>
      <w:r w:rsidR="004E4F67">
        <w:t xml:space="preserve"> This new patch could be used to address specific issues pertaining to the</w:t>
      </w:r>
      <w:r w:rsidR="00A16887">
        <w:t xml:space="preserve"> original patch or be used to</w:t>
      </w:r>
      <w:r w:rsidR="004E4F67">
        <w:t xml:space="preserve"> </w:t>
      </w:r>
      <w:r w:rsidR="00A16887">
        <w:t xml:space="preserve">restore the build components to their </w:t>
      </w:r>
      <w:r w:rsidR="00727E4A">
        <w:t xml:space="preserve">original </w:t>
      </w:r>
      <w:r w:rsidR="00A16887">
        <w:t>pre-patch condition.</w:t>
      </w:r>
    </w:p>
    <w:p w14:paraId="5CEAEBB2" w14:textId="77777777" w:rsidR="0035510F" w:rsidRPr="00FE4A49" w:rsidRDefault="0035510F" w:rsidP="006835CA">
      <w:pPr>
        <w:pStyle w:val="Heading3"/>
      </w:pPr>
      <w:bookmarkStart w:id="196" w:name="_Toc478982590"/>
      <w:bookmarkStart w:id="197" w:name="_Toc486338253"/>
      <w:r w:rsidRPr="0035510F">
        <w:t>After National Release and Warranty Period</w:t>
      </w:r>
      <w:bookmarkEnd w:id="196"/>
      <w:bookmarkEnd w:id="197"/>
    </w:p>
    <w:p w14:paraId="3B60ED4C" w14:textId="77777777" w:rsidR="007206A5" w:rsidRDefault="007206A5" w:rsidP="007206A5">
      <w:r>
        <w:t xml:space="preserve">After </w:t>
      </w:r>
      <w:r w:rsidR="005F5515">
        <w:t>the support period</w:t>
      </w:r>
      <w:r>
        <w:t xml:space="preserve">, the VistA Maintenance Program would produce the new patch, either to correct the defective components or </w:t>
      </w:r>
      <w:r w:rsidR="00A16887">
        <w:t xml:space="preserve">restore the build components to their </w:t>
      </w:r>
      <w:r w:rsidR="00727E4A">
        <w:t xml:space="preserve">original </w:t>
      </w:r>
      <w:r w:rsidR="00A16887">
        <w:t>pre-patch condition.</w:t>
      </w:r>
    </w:p>
    <w:p w14:paraId="107C4A17" w14:textId="77777777" w:rsidR="006C6DBA" w:rsidRDefault="00685E4D" w:rsidP="00740CBB">
      <w:pPr>
        <w:pStyle w:val="Heading2"/>
      </w:pPr>
      <w:bookmarkStart w:id="198" w:name="_Toc486338254"/>
      <w:r>
        <w:t>Back-Out</w:t>
      </w:r>
      <w:r w:rsidR="006C6DBA">
        <w:t xml:space="preserve"> Considerations</w:t>
      </w:r>
      <w:bookmarkEnd w:id="198"/>
    </w:p>
    <w:p w14:paraId="0B3300CB" w14:textId="3C765A11" w:rsidR="006C6DBA" w:rsidRDefault="00A32A5D" w:rsidP="00312833">
      <w:r w:rsidRPr="00A32A5D">
        <w:t>It is necessary to determine i</w:t>
      </w:r>
      <w:r w:rsidR="00727E4A">
        <w:t xml:space="preserve">f a wholesale back-out </w:t>
      </w:r>
      <w:r w:rsidRPr="00A32A5D">
        <w:t xml:space="preserve">of </w:t>
      </w:r>
      <w:r w:rsidR="006D5670">
        <w:t>the patch IB*2.0*577</w:t>
      </w:r>
      <w:r w:rsidR="0035510F">
        <w:t xml:space="preserve"> is needed</w:t>
      </w:r>
      <w:r w:rsidRPr="00A32A5D">
        <w:t xml:space="preserve"> or </w:t>
      </w:r>
      <w:r>
        <w:t xml:space="preserve">if </w:t>
      </w:r>
      <w:r w:rsidRPr="00A32A5D">
        <w:t>a better course</w:t>
      </w:r>
      <w:r w:rsidR="00804C09">
        <w:t xml:space="preserve"> of action </w:t>
      </w:r>
      <w:r w:rsidRPr="00A32A5D">
        <w:t>is</w:t>
      </w:r>
      <w:r w:rsidR="00804C09">
        <w:t xml:space="preserve"> needed</w:t>
      </w:r>
      <w:r w:rsidRPr="00A32A5D">
        <w:t xml:space="preserve"> to correct through a new version of the patch </w:t>
      </w:r>
      <w:r>
        <w:t xml:space="preserve">(if prior to national release) </w:t>
      </w:r>
      <w:r w:rsidRPr="00A32A5D">
        <w:t xml:space="preserve">or a subsequent patch </w:t>
      </w:r>
      <w:r>
        <w:t xml:space="preserve">aimed at </w:t>
      </w:r>
      <w:r w:rsidRPr="00A32A5D">
        <w:t xml:space="preserve">specific areas </w:t>
      </w:r>
      <w:r>
        <w:t>modified or affected by the</w:t>
      </w:r>
      <w:r w:rsidRPr="00A32A5D">
        <w:t xml:space="preserve"> </w:t>
      </w:r>
      <w:r>
        <w:t xml:space="preserve">original </w:t>
      </w:r>
      <w:r w:rsidRPr="00A32A5D">
        <w:t>patch</w:t>
      </w:r>
      <w:r>
        <w:t xml:space="preserve"> (after national release)</w:t>
      </w:r>
      <w:r w:rsidRPr="00A32A5D">
        <w:t xml:space="preserve">. </w:t>
      </w:r>
      <w:r w:rsidR="004E4F67">
        <w:t xml:space="preserve">A wholesale back-out of the patch will still require a new version (if prior to national release) or </w:t>
      </w:r>
      <w:r w:rsidR="004E4F67" w:rsidRPr="00A32A5D">
        <w:t xml:space="preserve">a subsequent patch </w:t>
      </w:r>
      <w:r w:rsidR="004E4F67">
        <w:t xml:space="preserve">(after national release). </w:t>
      </w:r>
      <w:r w:rsidRPr="00637940">
        <w:t>If the back-out is po</w:t>
      </w:r>
      <w:r w:rsidR="006D5670">
        <w:t>st-release of patch IB*2.0*577</w:t>
      </w:r>
      <w:r w:rsidRPr="00637940">
        <w:t>, this patch should be assigned status of “Entered in Error” in Forum’s NPM.</w:t>
      </w:r>
    </w:p>
    <w:p w14:paraId="3EB21435" w14:textId="77777777" w:rsidR="00DF6B4A" w:rsidRDefault="00DF6B4A" w:rsidP="00AB1954">
      <w:pPr>
        <w:pStyle w:val="Heading3"/>
      </w:pPr>
      <w:bookmarkStart w:id="199" w:name="_Toc486338255"/>
      <w:r>
        <w:t>Load Testing</w:t>
      </w:r>
      <w:bookmarkEnd w:id="199"/>
    </w:p>
    <w:p w14:paraId="50BE1264" w14:textId="3942482E" w:rsidR="00DF6B4A" w:rsidRDefault="00A32A5D" w:rsidP="00312833">
      <w:r w:rsidRPr="00A32A5D">
        <w:t xml:space="preserve">N/A. The back-out process would be executed at normal, rather than raised job priority, and is expected to have </w:t>
      </w:r>
      <w:r>
        <w:t>no significant</w:t>
      </w:r>
      <w:r w:rsidRPr="00A32A5D">
        <w:t xml:space="preserve"> effect on total system performance. Subsequent to the reversion, the performance demands on the system would be unchanged.</w:t>
      </w:r>
    </w:p>
    <w:p w14:paraId="26D457B4" w14:textId="77777777" w:rsidR="00DF6B4A" w:rsidRPr="000666AC" w:rsidRDefault="00DF6B4A" w:rsidP="00AB1954">
      <w:pPr>
        <w:pStyle w:val="Heading3"/>
      </w:pPr>
      <w:bookmarkStart w:id="200" w:name="_Toc486338256"/>
      <w:r w:rsidRPr="000666AC">
        <w:t>User Acceptance Testing</w:t>
      </w:r>
      <w:bookmarkEnd w:id="200"/>
    </w:p>
    <w:p w14:paraId="3B3551E8" w14:textId="08A82481" w:rsidR="00002D6C" w:rsidRPr="00AD49AF" w:rsidRDefault="00DA3AE3" w:rsidP="00002D6C">
      <w:r w:rsidRPr="00AD49AF">
        <w:t>C</w:t>
      </w:r>
      <w:r w:rsidR="00AD49AF">
        <w:t>lon</w:t>
      </w:r>
      <w:r w:rsidRPr="00AD49AF">
        <w:t>i</w:t>
      </w:r>
      <w:r w:rsidR="00AD49AF">
        <w:t>ng a Primary Claim</w:t>
      </w:r>
      <w:r w:rsidRPr="00AD49AF">
        <w:t>:</w:t>
      </w:r>
    </w:p>
    <w:p w14:paraId="07940FFF" w14:textId="3788D8CC" w:rsidR="00653F3B" w:rsidRPr="00AD49AF" w:rsidRDefault="00480268" w:rsidP="00653F3B">
      <w:pPr>
        <w:pStyle w:val="ListParagraph"/>
        <w:numPr>
          <w:ilvl w:val="0"/>
          <w:numId w:val="17"/>
        </w:numPr>
      </w:pPr>
      <w:r>
        <w:rPr>
          <w:color w:val="000000" w:themeColor="text1"/>
        </w:rPr>
        <w:t xml:space="preserve">The </w:t>
      </w:r>
      <w:r w:rsidR="00AD49AF" w:rsidRPr="00AD49AF">
        <w:t xml:space="preserve">Copy and Cancel [IB COPY AND CANCEL] </w:t>
      </w:r>
      <w:r>
        <w:t xml:space="preserve">option can be used </w:t>
      </w:r>
      <w:r w:rsidR="00AD49AF" w:rsidRPr="00AD49AF">
        <w:t>to cancel a primary claim and create a new primary claim which is to be submitted as a replacement claim.</w:t>
      </w:r>
    </w:p>
    <w:p w14:paraId="56364D87" w14:textId="38077A59" w:rsidR="00653F3B" w:rsidRPr="00480268" w:rsidRDefault="00480268" w:rsidP="00653F3B">
      <w:pPr>
        <w:pStyle w:val="ListParagraph"/>
        <w:numPr>
          <w:ilvl w:val="0"/>
          <w:numId w:val="17"/>
        </w:numPr>
      </w:pPr>
      <w:r w:rsidRPr="00480268">
        <w:rPr>
          <w:color w:val="000000" w:themeColor="text1"/>
        </w:rPr>
        <w:t xml:space="preserve">If the primary claim (Medicare or non-Medicare) has one or more associated MRAs or EOBs in VistA, the </w:t>
      </w:r>
      <w:r w:rsidR="002E64EF">
        <w:rPr>
          <w:color w:val="000000" w:themeColor="text1"/>
        </w:rPr>
        <w:t xml:space="preserve">IB </w:t>
      </w:r>
      <w:r w:rsidRPr="00480268">
        <w:rPr>
          <w:color w:val="000000" w:themeColor="text1"/>
        </w:rPr>
        <w:t xml:space="preserve">system will not copy the COB data to the new primary claim except for COB1, Piece 7 - </w:t>
      </w:r>
      <w:r w:rsidRPr="00480268">
        <w:t>Other Payer Claim Control Number (ICN)</w:t>
      </w:r>
      <w:r w:rsidRPr="00480268">
        <w:rPr>
          <w:color w:val="000000" w:themeColor="text1"/>
        </w:rPr>
        <w:t>. The ICN is required for replacement claims.</w:t>
      </w:r>
    </w:p>
    <w:p w14:paraId="7C490E1A" w14:textId="713E71FE" w:rsidR="00653F3B" w:rsidRPr="00480268" w:rsidRDefault="00480268" w:rsidP="00DA3AE3">
      <w:pPr>
        <w:pStyle w:val="ListParagraph"/>
        <w:numPr>
          <w:ilvl w:val="0"/>
          <w:numId w:val="17"/>
        </w:numPr>
      </w:pPr>
      <w:r>
        <w:rPr>
          <w:color w:val="000000" w:themeColor="text1"/>
        </w:rPr>
        <w:t>T</w:t>
      </w:r>
      <w:r w:rsidRPr="00480268">
        <w:rPr>
          <w:color w:val="000000" w:themeColor="text1"/>
        </w:rPr>
        <w:t>he new primary claim</w:t>
      </w:r>
      <w:r>
        <w:rPr>
          <w:color w:val="000000" w:themeColor="text1"/>
        </w:rPr>
        <w:t xml:space="preserve"> should be able to be transmitted and there should</w:t>
      </w:r>
      <w:r w:rsidRPr="00480268">
        <w:rPr>
          <w:color w:val="000000" w:themeColor="text1"/>
        </w:rPr>
        <w:t xml:space="preserve"> be no COB data except </w:t>
      </w:r>
      <w:r>
        <w:rPr>
          <w:color w:val="000000" w:themeColor="text1"/>
        </w:rPr>
        <w:t xml:space="preserve">for </w:t>
      </w:r>
      <w:r w:rsidRPr="00480268">
        <w:rPr>
          <w:color w:val="000000" w:themeColor="text1"/>
        </w:rPr>
        <w:t xml:space="preserve">the COB1, Piece 7 - </w:t>
      </w:r>
      <w:r w:rsidRPr="00480268">
        <w:t>ICN</w:t>
      </w:r>
      <w:r w:rsidRPr="00480268">
        <w:rPr>
          <w:color w:val="000000" w:themeColor="text1"/>
        </w:rPr>
        <w:t>. The MOA1, MIA1, MIA2, CCAS, LCOB and LCAS records will not exist in the outbound transaction.</w:t>
      </w:r>
    </w:p>
    <w:p w14:paraId="5BF78234" w14:textId="77777777" w:rsidR="001E1960" w:rsidRPr="006D5670" w:rsidRDefault="001E1960" w:rsidP="00DA3AE3">
      <w:pPr>
        <w:rPr>
          <w:highlight w:val="yellow"/>
        </w:rPr>
      </w:pPr>
    </w:p>
    <w:p w14:paraId="414AE027" w14:textId="02B5B993" w:rsidR="00DA3AE3" w:rsidRPr="00AD49AF" w:rsidRDefault="00AD49AF" w:rsidP="00DA3AE3">
      <w:r>
        <w:t>Field Length Adjustments:</w:t>
      </w:r>
    </w:p>
    <w:p w14:paraId="70861B25" w14:textId="754C1E3C" w:rsidR="00DA3AE3" w:rsidRPr="00480268" w:rsidRDefault="00480268" w:rsidP="00DA3AE3">
      <w:pPr>
        <w:pStyle w:val="ListParagraph"/>
        <w:numPr>
          <w:ilvl w:val="0"/>
          <w:numId w:val="17"/>
        </w:numPr>
      </w:pPr>
      <w:r>
        <w:lastRenderedPageBreak/>
        <w:t>Up to the maximum number of characters should be allowed to be entered in the X12N/005010X222 Health Care Claim (837) and X12N/005010X223 H</w:t>
      </w:r>
      <w:r w:rsidR="00253561">
        <w:t>ealth Care Claim (837) guides for</w:t>
      </w:r>
      <w:r>
        <w:t xml:space="preserve"> the fields affected by the updated IB screens.</w:t>
      </w:r>
    </w:p>
    <w:p w14:paraId="1E78847C" w14:textId="74E92159" w:rsidR="00253561" w:rsidRPr="00253561" w:rsidRDefault="00253561" w:rsidP="00006B8A">
      <w:pPr>
        <w:pStyle w:val="ListParagraph"/>
        <w:numPr>
          <w:ilvl w:val="0"/>
          <w:numId w:val="17"/>
        </w:numPr>
      </w:pPr>
      <w:r>
        <w:t>VistA</w:t>
      </w:r>
      <w:r w:rsidRPr="00253561">
        <w:t xml:space="preserve"> files can store the longer data</w:t>
      </w:r>
      <w:r>
        <w:t xml:space="preserve"> for the modified data fields of the files affected by this change</w:t>
      </w:r>
      <w:r w:rsidRPr="00253561">
        <w:t>.</w:t>
      </w:r>
    </w:p>
    <w:p w14:paraId="3170A11B" w14:textId="218E91C6" w:rsidR="00DA3AE3" w:rsidRPr="00253561" w:rsidRDefault="00DA3AE3" w:rsidP="00006B8A">
      <w:pPr>
        <w:pStyle w:val="ListParagraph"/>
        <w:numPr>
          <w:ilvl w:val="0"/>
          <w:numId w:val="17"/>
        </w:numPr>
      </w:pPr>
      <w:r w:rsidRPr="00253561">
        <w:t xml:space="preserve">The </w:t>
      </w:r>
      <w:r w:rsidR="002E64EF">
        <w:t xml:space="preserve">IB </w:t>
      </w:r>
      <w:r w:rsidRPr="00253561">
        <w:t xml:space="preserve">system should </w:t>
      </w:r>
      <w:r w:rsidR="00006B8A" w:rsidRPr="00253561">
        <w:t>display indicators in front of or after the bill numbers appearing on the MRW.</w:t>
      </w:r>
    </w:p>
    <w:p w14:paraId="41397186" w14:textId="77777777" w:rsidR="00253561" w:rsidRDefault="00253561" w:rsidP="00006B8A">
      <w:pPr>
        <w:pStyle w:val="ListParagraph"/>
        <w:numPr>
          <w:ilvl w:val="0"/>
          <w:numId w:val="17"/>
        </w:numPr>
      </w:pPr>
      <w:r>
        <w:t>VistA should be able to</w:t>
      </w:r>
      <w:r w:rsidRPr="00253561">
        <w:t xml:space="preserve"> transmit up to the maximum number of characters allowed in the X12N/005010X222 Health Care Claim – Professional (837) guide for the fields affected by this change.</w:t>
      </w:r>
    </w:p>
    <w:p w14:paraId="0CF6AE31" w14:textId="1D50D078" w:rsidR="00006B8A" w:rsidRDefault="00253561" w:rsidP="00006B8A">
      <w:pPr>
        <w:pStyle w:val="ListParagraph"/>
        <w:numPr>
          <w:ilvl w:val="0"/>
          <w:numId w:val="17"/>
        </w:numPr>
      </w:pPr>
      <w:r>
        <w:t>VistA should be able to transmit up to the maximum number of characters allowed in the X12N/005010X223 Health Care Claim - Institutional (837) guide for the fields affected by this change.</w:t>
      </w:r>
    </w:p>
    <w:p w14:paraId="405A5B3E" w14:textId="40B73F93" w:rsidR="00253561" w:rsidRDefault="00253561" w:rsidP="00006B8A">
      <w:pPr>
        <w:pStyle w:val="ListParagraph"/>
        <w:numPr>
          <w:ilvl w:val="0"/>
          <w:numId w:val="17"/>
        </w:numPr>
      </w:pPr>
      <w:r>
        <w:t>VistA IB should not receive any HIPAA compliance errors associated with field size compliance.</w:t>
      </w:r>
    </w:p>
    <w:p w14:paraId="510EBE79" w14:textId="6E17E2D9" w:rsidR="00253561" w:rsidRDefault="00253561" w:rsidP="00006B8A">
      <w:pPr>
        <w:pStyle w:val="ListParagraph"/>
        <w:numPr>
          <w:ilvl w:val="0"/>
          <w:numId w:val="17"/>
        </w:numPr>
      </w:pPr>
      <w:r>
        <w:t>The X12 837-I and 837-P transactions containing up to the maximum field sizes are transmitted from FSC to the HCCH and on to the payer without any field size compliance errors.</w:t>
      </w:r>
    </w:p>
    <w:p w14:paraId="25668F9A" w14:textId="327F346A" w:rsidR="00253561" w:rsidRDefault="00DF38D6" w:rsidP="00006B8A">
      <w:pPr>
        <w:pStyle w:val="ListParagraph"/>
        <w:numPr>
          <w:ilvl w:val="0"/>
          <w:numId w:val="17"/>
        </w:numPr>
      </w:pPr>
      <w:r>
        <w:t>T</w:t>
      </w:r>
      <w:r w:rsidR="00253561">
        <w:t>he data entered in the longer data fields in IB screens and IB reports should be viewable</w:t>
      </w:r>
      <w:r>
        <w:t xml:space="preserve"> where it has been determined that there is enough room to display</w:t>
      </w:r>
      <w:r w:rsidR="00253561">
        <w:t>.</w:t>
      </w:r>
    </w:p>
    <w:p w14:paraId="557A0CC3" w14:textId="77777777" w:rsidR="00253561" w:rsidRPr="00253561" w:rsidRDefault="00253561" w:rsidP="00006B8A"/>
    <w:p w14:paraId="6E854B04" w14:textId="6D60F6CB" w:rsidR="00006B8A" w:rsidRPr="00AD49AF" w:rsidRDefault="00AD49AF" w:rsidP="00006B8A">
      <w:r>
        <w:t>Units or Basis for Measurements Codes for Drugs:</w:t>
      </w:r>
    </w:p>
    <w:p w14:paraId="0A9BC1A8" w14:textId="452748D0" w:rsidR="00006B8A" w:rsidRPr="00E82172" w:rsidRDefault="002E64EF" w:rsidP="00006B8A">
      <w:pPr>
        <w:pStyle w:val="ListParagraph"/>
        <w:numPr>
          <w:ilvl w:val="0"/>
          <w:numId w:val="17"/>
        </w:numPr>
        <w:rPr>
          <w:szCs w:val="22"/>
        </w:rPr>
      </w:pPr>
      <w:r w:rsidRPr="00E82172">
        <w:rPr>
          <w:szCs w:val="22"/>
        </w:rPr>
        <w:t xml:space="preserve">When </w:t>
      </w:r>
      <w:r w:rsidR="00DF38D6" w:rsidRPr="00E82172">
        <w:rPr>
          <w:szCs w:val="22"/>
        </w:rPr>
        <w:t>entering a bill using the Enter/Edit Billing Info</w:t>
      </w:r>
      <w:r w:rsidRPr="00E82172">
        <w:rPr>
          <w:szCs w:val="22"/>
        </w:rPr>
        <w:t>rmation option, select</w:t>
      </w:r>
      <w:r w:rsidR="00DF38D6" w:rsidRPr="00E82172">
        <w:rPr>
          <w:szCs w:val="22"/>
        </w:rPr>
        <w:t xml:space="preserve"> Section 4 on Screen 5</w:t>
      </w:r>
      <w:r w:rsidRPr="00E82172">
        <w:rPr>
          <w:szCs w:val="22"/>
        </w:rPr>
        <w:t>, and enter</w:t>
      </w:r>
      <w:r w:rsidR="00DF38D6" w:rsidRPr="00E82172">
        <w:rPr>
          <w:szCs w:val="22"/>
        </w:rPr>
        <w:t xml:space="preserve"> a HCPCS/CPT code for a procedure that requires the inclusion of </w:t>
      </w:r>
      <w:r w:rsidR="00F11DF6" w:rsidRPr="00E82172">
        <w:rPr>
          <w:szCs w:val="22"/>
        </w:rPr>
        <w:t>a</w:t>
      </w:r>
      <w:r w:rsidR="00DF38D6" w:rsidRPr="00E82172">
        <w:rPr>
          <w:szCs w:val="22"/>
        </w:rPr>
        <w:t xml:space="preserve"> </w:t>
      </w:r>
      <w:r w:rsidRPr="00E82172">
        <w:rPr>
          <w:szCs w:val="22"/>
        </w:rPr>
        <w:t>National Drug Code (</w:t>
      </w:r>
      <w:r w:rsidR="00DF38D6" w:rsidRPr="00E82172">
        <w:rPr>
          <w:szCs w:val="22"/>
        </w:rPr>
        <w:t>NDC</w:t>
      </w:r>
      <w:r w:rsidRPr="00E82172">
        <w:rPr>
          <w:szCs w:val="22"/>
        </w:rPr>
        <w:t>)</w:t>
      </w:r>
      <w:r w:rsidR="00DF38D6" w:rsidRPr="00E82172">
        <w:rPr>
          <w:szCs w:val="22"/>
        </w:rPr>
        <w:t xml:space="preserve"> for the administration of a non-prescription (RX) medication.</w:t>
      </w:r>
    </w:p>
    <w:p w14:paraId="1460FE69" w14:textId="1E5EA000" w:rsidR="00006B8A" w:rsidRPr="00E82172" w:rsidRDefault="002E64EF" w:rsidP="00006B8A">
      <w:pPr>
        <w:pStyle w:val="ListParagraph"/>
        <w:numPr>
          <w:ilvl w:val="0"/>
          <w:numId w:val="17"/>
        </w:numPr>
        <w:rPr>
          <w:szCs w:val="22"/>
        </w:rPr>
      </w:pPr>
      <w:r w:rsidRPr="00E82172">
        <w:rPr>
          <w:szCs w:val="22"/>
        </w:rPr>
        <w:t>An NDC should be able to be entered that is associated with the procedure.</w:t>
      </w:r>
    </w:p>
    <w:p w14:paraId="680CB458" w14:textId="5222F144" w:rsidR="00006B8A" w:rsidRPr="00E82172" w:rsidRDefault="002E64EF" w:rsidP="00006B8A">
      <w:pPr>
        <w:pStyle w:val="ListParagraph"/>
        <w:numPr>
          <w:ilvl w:val="0"/>
          <w:numId w:val="17"/>
        </w:numPr>
        <w:rPr>
          <w:szCs w:val="22"/>
        </w:rPr>
      </w:pPr>
      <w:r w:rsidRPr="00E82172">
        <w:rPr>
          <w:szCs w:val="22"/>
        </w:rPr>
        <w:t xml:space="preserve">A Unit/Basis of Measurement should be able to be entered by accepting the default value of UNITS or by entering a code such as F2, GR, ME, ML, UN or by entering “??” at the prompt for unit </w:t>
      </w:r>
      <w:r w:rsidRPr="00E82172">
        <w:rPr>
          <w:rFonts w:eastAsiaTheme="minorHAnsi"/>
          <w:szCs w:val="22"/>
        </w:rPr>
        <w:t>or basis for measurement code</w:t>
      </w:r>
      <w:r w:rsidRPr="00E82172">
        <w:rPr>
          <w:szCs w:val="22"/>
        </w:rPr>
        <w:t xml:space="preserve"> and then selecting a code</w:t>
      </w:r>
      <w:r w:rsidRPr="00E82172">
        <w:rPr>
          <w:rFonts w:eastAsiaTheme="minorHAnsi"/>
          <w:szCs w:val="22"/>
        </w:rPr>
        <w:t>.</w:t>
      </w:r>
    </w:p>
    <w:p w14:paraId="4A6F88A2" w14:textId="45B36602" w:rsidR="00006B8A" w:rsidRPr="00E82172" w:rsidRDefault="002E64EF" w:rsidP="00006B8A">
      <w:pPr>
        <w:pStyle w:val="ListParagraph"/>
        <w:numPr>
          <w:ilvl w:val="0"/>
          <w:numId w:val="17"/>
        </w:numPr>
        <w:rPr>
          <w:szCs w:val="22"/>
        </w:rPr>
      </w:pPr>
      <w:r w:rsidRPr="00E82172">
        <w:rPr>
          <w:szCs w:val="22"/>
        </w:rPr>
        <w:t>Upon entering the Unit/Basis of Measurement, the IB system should prompt for the entry of the appropriate unit (quantity).</w:t>
      </w:r>
    </w:p>
    <w:p w14:paraId="33D98193" w14:textId="6BADFB8F" w:rsidR="00006B8A" w:rsidRPr="00E82172" w:rsidRDefault="00E82172" w:rsidP="00006B8A">
      <w:pPr>
        <w:pStyle w:val="ListParagraph"/>
        <w:numPr>
          <w:ilvl w:val="0"/>
          <w:numId w:val="17"/>
        </w:numPr>
        <w:rPr>
          <w:szCs w:val="22"/>
        </w:rPr>
      </w:pPr>
      <w:r w:rsidRPr="00E82172">
        <w:rPr>
          <w:szCs w:val="22"/>
        </w:rPr>
        <w:t>The IB system should allow</w:t>
      </w:r>
      <w:r w:rsidR="002E64EF" w:rsidRPr="00E82172">
        <w:rPr>
          <w:szCs w:val="22"/>
        </w:rPr>
        <w:t xml:space="preserve"> the user to complete and authorize the bill.</w:t>
      </w:r>
    </w:p>
    <w:p w14:paraId="3A4CAC42" w14:textId="4D4493FC" w:rsidR="00006B8A" w:rsidRDefault="00E82172" w:rsidP="00006B8A">
      <w:pPr>
        <w:pStyle w:val="ListParagraph"/>
        <w:numPr>
          <w:ilvl w:val="0"/>
          <w:numId w:val="17"/>
        </w:numPr>
        <w:rPr>
          <w:szCs w:val="22"/>
        </w:rPr>
      </w:pPr>
      <w:r w:rsidRPr="00E82172">
        <w:rPr>
          <w:szCs w:val="22"/>
        </w:rPr>
        <w:t xml:space="preserve">The IB system </w:t>
      </w:r>
      <w:r>
        <w:rPr>
          <w:szCs w:val="22"/>
        </w:rPr>
        <w:t>should be able to transmit</w:t>
      </w:r>
      <w:r w:rsidRPr="00E82172">
        <w:rPr>
          <w:szCs w:val="22"/>
        </w:rPr>
        <w:t xml:space="preserve"> the NDC number, the Units/Basis of Measurement and the Quantity in PRF, Pieces 22</w:t>
      </w:r>
      <w:r>
        <w:rPr>
          <w:szCs w:val="22"/>
        </w:rPr>
        <w:t>, 23, 25, for a Professional claim</w:t>
      </w:r>
      <w:r w:rsidRPr="00E82172">
        <w:rPr>
          <w:szCs w:val="22"/>
        </w:rPr>
        <w:t xml:space="preserve"> in the flat file.</w:t>
      </w:r>
    </w:p>
    <w:p w14:paraId="13E46C33" w14:textId="0FF5EACE" w:rsidR="00E82172" w:rsidRPr="00E82172" w:rsidRDefault="00E82172" w:rsidP="00006B8A">
      <w:pPr>
        <w:pStyle w:val="ListParagraph"/>
        <w:numPr>
          <w:ilvl w:val="0"/>
          <w:numId w:val="17"/>
        </w:numPr>
        <w:rPr>
          <w:szCs w:val="22"/>
        </w:rPr>
      </w:pPr>
      <w:r w:rsidRPr="00E82172">
        <w:rPr>
          <w:szCs w:val="22"/>
        </w:rPr>
        <w:t xml:space="preserve">The IB system </w:t>
      </w:r>
      <w:r>
        <w:rPr>
          <w:szCs w:val="22"/>
        </w:rPr>
        <w:t>should be able to transmit</w:t>
      </w:r>
      <w:r w:rsidRPr="00E82172">
        <w:rPr>
          <w:szCs w:val="22"/>
        </w:rPr>
        <w:t xml:space="preserve"> the NDC number, the Units/Basis of Measurement and the Quantity in INS, P</w:t>
      </w:r>
      <w:r>
        <w:rPr>
          <w:szCs w:val="22"/>
        </w:rPr>
        <w:t>ieces 15, 16, 17, for an Institutional claim in the flat file</w:t>
      </w:r>
      <w:r w:rsidRPr="00E82172">
        <w:rPr>
          <w:szCs w:val="22"/>
        </w:rPr>
        <w:t>.</w:t>
      </w:r>
    </w:p>
    <w:p w14:paraId="4B14D38C" w14:textId="77777777" w:rsidR="00AD49AF" w:rsidRPr="006D5670" w:rsidRDefault="00AD49AF" w:rsidP="00AD49AF">
      <w:pPr>
        <w:rPr>
          <w:highlight w:val="yellow"/>
        </w:rPr>
      </w:pPr>
    </w:p>
    <w:p w14:paraId="790478C6" w14:textId="77777777" w:rsidR="00AD49AF" w:rsidRPr="00AD49AF" w:rsidRDefault="00AD49AF" w:rsidP="00AD49AF">
      <w:r>
        <w:t>Print NDC Number on UB04:</w:t>
      </w:r>
    </w:p>
    <w:p w14:paraId="3B9A38BE" w14:textId="2A700D8D" w:rsidR="00AD49AF" w:rsidRPr="0060568C" w:rsidRDefault="0060568C" w:rsidP="00AD49AF">
      <w:pPr>
        <w:pStyle w:val="ListParagraph"/>
        <w:numPr>
          <w:ilvl w:val="0"/>
          <w:numId w:val="17"/>
        </w:numPr>
        <w:rPr>
          <w:szCs w:val="22"/>
        </w:rPr>
      </w:pPr>
      <w:r>
        <w:rPr>
          <w:szCs w:val="22"/>
        </w:rPr>
        <w:t>The IB s</w:t>
      </w:r>
      <w:r w:rsidR="00E82172" w:rsidRPr="0060568C">
        <w:rPr>
          <w:szCs w:val="22"/>
        </w:rPr>
        <w:t xml:space="preserve">ystem </w:t>
      </w:r>
      <w:r>
        <w:rPr>
          <w:szCs w:val="22"/>
        </w:rPr>
        <w:t>should print</w:t>
      </w:r>
      <w:r w:rsidR="00E82172" w:rsidRPr="0060568C">
        <w:rPr>
          <w:szCs w:val="22"/>
        </w:rPr>
        <w:t xml:space="preserve"> each non-prescription, line level NDC qualifier, NDC</w:t>
      </w:r>
      <w:r>
        <w:rPr>
          <w:szCs w:val="22"/>
        </w:rPr>
        <w:t xml:space="preserve"> number</w:t>
      </w:r>
      <w:r w:rsidR="00E82172" w:rsidRPr="0060568C">
        <w:rPr>
          <w:szCs w:val="22"/>
        </w:rPr>
        <w:t>, unit of measurement qualifier and the quantity of the medication delivered in FL 43 of the UB04 in a left justified format: QualifierNDC#UnitQualifierQuantity</w:t>
      </w:r>
      <w:r>
        <w:rPr>
          <w:szCs w:val="22"/>
        </w:rPr>
        <w:t>.</w:t>
      </w:r>
      <w:r w:rsidR="00E82172" w:rsidRPr="0060568C">
        <w:rPr>
          <w:szCs w:val="22"/>
        </w:rPr>
        <w:t xml:space="preserve"> (</w:t>
      </w:r>
      <w:r>
        <w:rPr>
          <w:szCs w:val="22"/>
        </w:rPr>
        <w:t xml:space="preserve">For </w:t>
      </w:r>
      <w:r w:rsidR="00E82172" w:rsidRPr="0060568C">
        <w:rPr>
          <w:szCs w:val="22"/>
        </w:rPr>
        <w:t>example: N400039006013ME1)</w:t>
      </w:r>
      <w:r>
        <w:rPr>
          <w:szCs w:val="22"/>
        </w:rPr>
        <w:t>.</w:t>
      </w:r>
    </w:p>
    <w:p w14:paraId="267FB1C2" w14:textId="7D7D7B8C" w:rsidR="00AD49AF" w:rsidRPr="0060568C" w:rsidRDefault="0060568C" w:rsidP="00AD49AF">
      <w:pPr>
        <w:pStyle w:val="ListParagraph"/>
        <w:numPr>
          <w:ilvl w:val="0"/>
          <w:numId w:val="17"/>
        </w:numPr>
      </w:pPr>
      <w:r>
        <w:t>The IB system should print whole number Quantities with no decimal.</w:t>
      </w:r>
    </w:p>
    <w:p w14:paraId="0BD32610" w14:textId="7244BCDF" w:rsidR="00AD49AF" w:rsidRPr="0060568C" w:rsidRDefault="0060568C" w:rsidP="00AD49AF">
      <w:pPr>
        <w:pStyle w:val="ListParagraph"/>
        <w:numPr>
          <w:ilvl w:val="0"/>
          <w:numId w:val="17"/>
        </w:numPr>
      </w:pPr>
      <w:r>
        <w:t>The IB system should print non-whole number Quantities with up to 3 decimal places.</w:t>
      </w:r>
    </w:p>
    <w:p w14:paraId="503B1E12" w14:textId="726B7F20" w:rsidR="00AD49AF" w:rsidRPr="0060568C" w:rsidRDefault="0060568C" w:rsidP="00AD49AF">
      <w:pPr>
        <w:pStyle w:val="ListParagraph"/>
        <w:numPr>
          <w:ilvl w:val="0"/>
          <w:numId w:val="17"/>
        </w:numPr>
      </w:pPr>
      <w:r>
        <w:t>The IB system should no longer print non-prescription, line level NDC qualifier, NDC number, unit of measurement qualifier and the quantity of the medication delivered in FL80 of the UB04.</w:t>
      </w:r>
    </w:p>
    <w:p w14:paraId="06FD7B00" w14:textId="77777777" w:rsidR="00AD49AF" w:rsidRPr="006D5670" w:rsidRDefault="00AD49AF" w:rsidP="00AD49AF">
      <w:pPr>
        <w:rPr>
          <w:highlight w:val="yellow"/>
        </w:rPr>
      </w:pPr>
    </w:p>
    <w:p w14:paraId="57067ADF" w14:textId="77777777" w:rsidR="0040362B" w:rsidRDefault="00AD49AF" w:rsidP="0040362B">
      <w:r>
        <w:t>Process Payer ID – Store HCCH Payer ID:</w:t>
      </w:r>
    </w:p>
    <w:p w14:paraId="35458976" w14:textId="2EA4A4A4" w:rsidR="00AD49AF" w:rsidRPr="0040362B" w:rsidRDefault="00B877FC" w:rsidP="0040362B">
      <w:pPr>
        <w:pStyle w:val="ListParagraph"/>
        <w:numPr>
          <w:ilvl w:val="0"/>
          <w:numId w:val="34"/>
        </w:numPr>
      </w:pPr>
      <w:r w:rsidRPr="0040362B">
        <w:rPr>
          <w:szCs w:val="22"/>
        </w:rPr>
        <w:t>The IB system should be able to accept an inbound 277STAT message from HCCH.</w:t>
      </w:r>
    </w:p>
    <w:p w14:paraId="47B746D0" w14:textId="0408284F" w:rsidR="00AD49AF" w:rsidRPr="00B877FC" w:rsidRDefault="00B877FC" w:rsidP="00AD49AF">
      <w:pPr>
        <w:pStyle w:val="ListParagraph"/>
        <w:numPr>
          <w:ilvl w:val="0"/>
          <w:numId w:val="17"/>
        </w:numPr>
      </w:pPr>
      <w:r>
        <w:t>The IB s</w:t>
      </w:r>
      <w:r w:rsidRPr="00B877FC">
        <w:t xml:space="preserve">ystem </w:t>
      </w:r>
      <w:r>
        <w:t xml:space="preserve">should be able to process a 277STAT message and attempt to update the </w:t>
      </w:r>
      <w:r w:rsidRPr="00B877FC">
        <w:t>EDI ID NUMBER – PROF</w:t>
      </w:r>
      <w:r>
        <w:t xml:space="preserve"> [3.02] field or the EDI ID NUMBER – INST [3.04] field</w:t>
      </w:r>
      <w:r w:rsidRPr="00B877FC">
        <w:t xml:space="preserve"> with any Payer IDs identified by the HCCH in the 277STAT transaction</w:t>
      </w:r>
      <w:r>
        <w:t>.</w:t>
      </w:r>
    </w:p>
    <w:p w14:paraId="5D247653" w14:textId="6A925DA0" w:rsidR="00AD49AF" w:rsidRPr="00B877FC" w:rsidRDefault="00B877FC" w:rsidP="00AD49AF">
      <w:pPr>
        <w:pStyle w:val="ListParagraph"/>
        <w:numPr>
          <w:ilvl w:val="0"/>
          <w:numId w:val="17"/>
        </w:numPr>
      </w:pPr>
      <w:r>
        <w:lastRenderedPageBreak/>
        <w:t>The IB s</w:t>
      </w:r>
      <w:r w:rsidRPr="00B877FC">
        <w:t xml:space="preserve">ystem </w:t>
      </w:r>
      <w:r>
        <w:t xml:space="preserve">should update the </w:t>
      </w:r>
      <w:r w:rsidRPr="00B877FC">
        <w:t>EDI ID NUMBER – PROF</w:t>
      </w:r>
      <w:r>
        <w:t xml:space="preserve"> [3.02] field or </w:t>
      </w:r>
      <w:r w:rsidRPr="00B877FC">
        <w:t>EDI ID NUMBER – INST</w:t>
      </w:r>
      <w:r>
        <w:t xml:space="preserve"> [3.04] field in the Insurance Company file [#36]</w:t>
      </w:r>
      <w:r w:rsidRPr="00B877FC">
        <w:t xml:space="preserve"> with the values sent by the HCCH only if the field(s) is blank</w:t>
      </w:r>
      <w:r>
        <w:t>.</w:t>
      </w:r>
    </w:p>
    <w:p w14:paraId="2065C62E" w14:textId="77777777" w:rsidR="00AD49AF" w:rsidRPr="006D5670" w:rsidRDefault="00AD49AF" w:rsidP="00AD49AF">
      <w:pPr>
        <w:rPr>
          <w:highlight w:val="yellow"/>
        </w:rPr>
      </w:pPr>
    </w:p>
    <w:p w14:paraId="423A8709" w14:textId="77777777" w:rsidR="0040362B" w:rsidRDefault="00AD49AF" w:rsidP="0040362B">
      <w:r>
        <w:t>Payer ID Report:</w:t>
      </w:r>
    </w:p>
    <w:p w14:paraId="1446708D" w14:textId="63D6E684" w:rsidR="0040362B" w:rsidRPr="0040362B" w:rsidRDefault="001E1338" w:rsidP="0040362B">
      <w:pPr>
        <w:pStyle w:val="ListParagraph"/>
        <w:numPr>
          <w:ilvl w:val="0"/>
          <w:numId w:val="35"/>
        </w:numPr>
      </w:pPr>
      <w:r w:rsidRPr="0040362B">
        <w:rPr>
          <w:szCs w:val="22"/>
        </w:rPr>
        <w:t>The IB system should provide access to a new “</w:t>
      </w:r>
      <w:r w:rsidR="00DE71B8">
        <w:rPr>
          <w:szCs w:val="22"/>
        </w:rPr>
        <w:t>HCCH Payer ID Report</w:t>
      </w:r>
      <w:r w:rsidRPr="0040362B">
        <w:rPr>
          <w:szCs w:val="22"/>
        </w:rPr>
        <w:t>”</w:t>
      </w:r>
      <w:r w:rsidR="00DE71B8">
        <w:rPr>
          <w:szCs w:val="22"/>
        </w:rPr>
        <w:t xml:space="preserve"> [IB HCCH PAYER ID REPORT]</w:t>
      </w:r>
      <w:r w:rsidRPr="0040362B">
        <w:rPr>
          <w:szCs w:val="22"/>
        </w:rPr>
        <w:t xml:space="preserve"> option (on the MCCR System Definition Menu) for tracking Payer ID (EDI ID NUMBER – PROF [3.02] or EDI ID NUMBER – INST [3.04]) updates that are a result of a 277STAT message.</w:t>
      </w:r>
    </w:p>
    <w:p w14:paraId="5F6DC5DB" w14:textId="6D5899D3" w:rsidR="00AD49AF" w:rsidRPr="0040362B" w:rsidRDefault="001E1338" w:rsidP="0040362B">
      <w:pPr>
        <w:pStyle w:val="ListParagraph"/>
        <w:numPr>
          <w:ilvl w:val="0"/>
          <w:numId w:val="35"/>
        </w:numPr>
      </w:pPr>
      <w:r w:rsidRPr="0040362B">
        <w:rPr>
          <w:szCs w:val="22"/>
        </w:rPr>
        <w:t>Upon selecting the new report option, the IB system should allow for an entry to specify a date range for which to search for system changes to the EDI ID NUMBER – PROF [3.02] field or EDI ID NUMBER – INST [3.04] field.</w:t>
      </w:r>
    </w:p>
    <w:p w14:paraId="114C4252" w14:textId="3A203870" w:rsidR="00AD49AF" w:rsidRPr="0040362B" w:rsidRDefault="0040362B" w:rsidP="00AD49AF">
      <w:pPr>
        <w:pStyle w:val="ListParagraph"/>
        <w:numPr>
          <w:ilvl w:val="0"/>
          <w:numId w:val="17"/>
        </w:numPr>
        <w:rPr>
          <w:szCs w:val="22"/>
        </w:rPr>
      </w:pPr>
      <w:r>
        <w:rPr>
          <w:szCs w:val="22"/>
        </w:rPr>
        <w:t>The new HCCH Payer ID R</w:t>
      </w:r>
      <w:r w:rsidRPr="0040362B">
        <w:rPr>
          <w:szCs w:val="22"/>
        </w:rPr>
        <w:t xml:space="preserve">eport </w:t>
      </w:r>
      <w:r>
        <w:rPr>
          <w:szCs w:val="22"/>
        </w:rPr>
        <w:t>should provide</w:t>
      </w:r>
      <w:r w:rsidRPr="0040362B">
        <w:rPr>
          <w:szCs w:val="22"/>
        </w:rPr>
        <w:t xml:space="preserve"> the following data elements: insurance company name; address; Prof ID and/or Inst ID values that were updated; Prof ID and Inst ID values that the system did not update and date of update or attempted update</w:t>
      </w:r>
      <w:r>
        <w:rPr>
          <w:szCs w:val="22"/>
        </w:rPr>
        <w:t>.</w:t>
      </w:r>
    </w:p>
    <w:p w14:paraId="3598FC83" w14:textId="28944A2C" w:rsidR="00AD49AF" w:rsidRPr="0040362B" w:rsidRDefault="0040362B" w:rsidP="00AD49AF">
      <w:pPr>
        <w:pStyle w:val="ListParagraph"/>
        <w:numPr>
          <w:ilvl w:val="0"/>
          <w:numId w:val="17"/>
        </w:numPr>
        <w:rPr>
          <w:szCs w:val="22"/>
        </w:rPr>
      </w:pPr>
      <w:r>
        <w:rPr>
          <w:szCs w:val="22"/>
        </w:rPr>
        <w:t>The new HCCH Payer ID Report will only show</w:t>
      </w:r>
      <w:r w:rsidRPr="0040362B">
        <w:rPr>
          <w:szCs w:val="22"/>
        </w:rPr>
        <w:t xml:space="preserve"> one attempt per day per Insurance Company per ID (Institutional or Professional) unless subsequent attempts involve a different ID value</w:t>
      </w:r>
      <w:r w:rsidR="00AD49AF" w:rsidRPr="0040362B">
        <w:rPr>
          <w:szCs w:val="22"/>
        </w:rPr>
        <w:t>.</w:t>
      </w:r>
    </w:p>
    <w:p w14:paraId="41A656ED" w14:textId="77777777" w:rsidR="006C6DBA" w:rsidRDefault="00685E4D" w:rsidP="00066588">
      <w:pPr>
        <w:pStyle w:val="Heading2"/>
        <w:numPr>
          <w:ilvl w:val="0"/>
          <w:numId w:val="0"/>
        </w:numPr>
        <w:ind w:left="763" w:hanging="576"/>
      </w:pPr>
      <w:bookmarkStart w:id="201" w:name="_Toc486338257"/>
      <w:r>
        <w:t>Back-Out</w:t>
      </w:r>
      <w:r w:rsidR="00DF6B4A" w:rsidRPr="00DF6B4A">
        <w:t xml:space="preserve"> </w:t>
      </w:r>
      <w:r w:rsidR="006C6DBA">
        <w:t>Criteria</w:t>
      </w:r>
      <w:bookmarkEnd w:id="201"/>
    </w:p>
    <w:p w14:paraId="25619AAA" w14:textId="6F7B05F8" w:rsidR="006C6DBA" w:rsidRDefault="00A32A5D" w:rsidP="00312833">
      <w:r w:rsidRPr="00354245">
        <w:t xml:space="preserve">The </w:t>
      </w:r>
      <w:r w:rsidR="00F508AF" w:rsidRPr="00354245">
        <w:t>project is canceled</w:t>
      </w:r>
      <w:r w:rsidR="00727E4A">
        <w:t xml:space="preserve">, </w:t>
      </w:r>
      <w:r w:rsidR="00F508AF" w:rsidRPr="00354245">
        <w:t>the requested cha</w:t>
      </w:r>
      <w:r w:rsidR="006D5670">
        <w:t>nges implemented by IB*2.0*577</w:t>
      </w:r>
      <w:r w:rsidR="00F508AF" w:rsidRPr="00354245">
        <w:t xml:space="preserve"> are no longer desi</w:t>
      </w:r>
      <w:r w:rsidR="00932CFD">
        <w:t>red by VA OI&amp;</w:t>
      </w:r>
      <w:r w:rsidR="001A6795">
        <w:t>T and the Integrated Billing</w:t>
      </w:r>
      <w:r w:rsidR="00F508AF" w:rsidRPr="00354245">
        <w:t xml:space="preserve"> eBusiness team</w:t>
      </w:r>
      <w:r w:rsidR="00727E4A">
        <w:t>, or the patch produces catastrophic problems</w:t>
      </w:r>
      <w:r w:rsidR="00F508AF" w:rsidRPr="00354245">
        <w:t>.</w:t>
      </w:r>
    </w:p>
    <w:p w14:paraId="2C773A0F" w14:textId="77777777" w:rsidR="006C6DBA" w:rsidRDefault="00685E4D" w:rsidP="00740CBB">
      <w:pPr>
        <w:pStyle w:val="Heading2"/>
      </w:pPr>
      <w:bookmarkStart w:id="202" w:name="_Toc486338258"/>
      <w:r>
        <w:t>Back-Out</w:t>
      </w:r>
      <w:r w:rsidR="00DF6B4A" w:rsidRPr="00DF6B4A">
        <w:t xml:space="preserve"> </w:t>
      </w:r>
      <w:r w:rsidR="006C6DBA">
        <w:t>Risks</w:t>
      </w:r>
      <w:bookmarkEnd w:id="202"/>
    </w:p>
    <w:p w14:paraId="74FB242B" w14:textId="7AB78C46" w:rsidR="006C6DBA" w:rsidRDefault="00727E4A" w:rsidP="007B5526">
      <w:pPr>
        <w:pStyle w:val="ListParagraph"/>
        <w:ind w:left="0"/>
      </w:pPr>
      <w:r>
        <w:t xml:space="preserve">Since the eBilling software is tightly integrated </w:t>
      </w:r>
      <w:r w:rsidR="007B5526">
        <w:t>with external systems, any attempt at a back-out should include close consultation with the external trading partners such as the Financial Services Center (FSC) and the Health Care Clearing House (HCCH)</w:t>
      </w:r>
      <w:r w:rsidR="004A250A">
        <w:t xml:space="preserve"> to determine risk</w:t>
      </w:r>
      <w:r w:rsidR="00134E91">
        <w:t>.</w:t>
      </w:r>
    </w:p>
    <w:p w14:paraId="61A773D7" w14:textId="77777777" w:rsidR="006C6DBA" w:rsidRDefault="006C6DBA" w:rsidP="00740CBB">
      <w:pPr>
        <w:pStyle w:val="Heading2"/>
      </w:pPr>
      <w:bookmarkStart w:id="203" w:name="_Toc486338259"/>
      <w:r>
        <w:t xml:space="preserve">Authority for </w:t>
      </w:r>
      <w:r w:rsidR="00685E4D">
        <w:t>Back-Out</w:t>
      </w:r>
      <w:bookmarkEnd w:id="203"/>
    </w:p>
    <w:p w14:paraId="7013E06F" w14:textId="4776D751" w:rsidR="00FD717B" w:rsidRDefault="00FD717B" w:rsidP="00FD717B">
      <w:r w:rsidRPr="00FD717B">
        <w:t>The order would com</w:t>
      </w:r>
      <w:r w:rsidRPr="00707CAD">
        <w:t xml:space="preserve">e from: </w:t>
      </w:r>
      <w:r w:rsidR="00256482" w:rsidRPr="00707CAD">
        <w:t>release coordinator (product support), portfolio director and health product support.</w:t>
      </w:r>
      <w:r w:rsidR="00727E4A">
        <w:t xml:space="preserve"> This should be done in consultation with the development team and external trading part</w:t>
      </w:r>
      <w:r w:rsidR="007B5526">
        <w:t>ners such as FSC and the HCCH to determine the appropriate course of action. eBilling is tightly integrated with these external partners and a back-out of the patch should not be a standalone decision.</w:t>
      </w:r>
    </w:p>
    <w:p w14:paraId="459600A7" w14:textId="77777777" w:rsidR="00AE5904" w:rsidRPr="00256482" w:rsidRDefault="00685E4D" w:rsidP="00740CBB">
      <w:pPr>
        <w:pStyle w:val="Heading2"/>
      </w:pPr>
      <w:bookmarkStart w:id="204" w:name="_Toc471401656"/>
      <w:bookmarkStart w:id="205" w:name="_Toc471401824"/>
      <w:bookmarkStart w:id="206" w:name="_Toc486338260"/>
      <w:bookmarkEnd w:id="204"/>
      <w:bookmarkEnd w:id="205"/>
      <w:r w:rsidRPr="00256482">
        <w:t>Back-Out</w:t>
      </w:r>
      <w:r w:rsidR="00AE5904" w:rsidRPr="00256482">
        <w:t xml:space="preserve"> Procedure</w:t>
      </w:r>
      <w:bookmarkEnd w:id="206"/>
    </w:p>
    <w:p w14:paraId="26A3EA1A" w14:textId="0B938B0A" w:rsidR="00B914CB" w:rsidRDefault="00B914CB" w:rsidP="00B914CB">
      <w:r>
        <w:t xml:space="preserve">The rollback plan for VistA </w:t>
      </w:r>
      <w:r w:rsidR="004A250A">
        <w:t>applications is complex and not</w:t>
      </w:r>
      <w:r>
        <w:t xml:space="preserve"> a “one size fits all” solution. The general strategy for a VistA rollback is to repair the code with a follow-up patch. The development team recommends that sites log</w:t>
      </w:r>
      <w:r w:rsidR="007B25C8">
        <w:t xml:space="preserve"> a</w:t>
      </w:r>
      <w:r>
        <w:t xml:space="preserve"> ticket if it is a nationally released patch. If not, the site should contact the Enterprise Program Management Office (EPMO) team directly for specific solutions to their unique problems</w:t>
      </w:r>
      <w:r w:rsidR="00595428">
        <w:t>.</w:t>
      </w:r>
    </w:p>
    <w:p w14:paraId="79589C57" w14:textId="77777777" w:rsidR="00B914CB" w:rsidRDefault="00B914CB" w:rsidP="00D36356"/>
    <w:p w14:paraId="5772BEF3" w14:textId="69814415" w:rsidR="002C2A31" w:rsidRDefault="00E53C48" w:rsidP="00D36356">
      <w:r>
        <w:t xml:space="preserve">The </w:t>
      </w:r>
      <w:r w:rsidR="006D5670">
        <w:t>IB*2.0*577</w:t>
      </w:r>
      <w:r>
        <w:t xml:space="preserve"> patch contains the following build components.</w:t>
      </w:r>
    </w:p>
    <w:p w14:paraId="6814482B" w14:textId="77777777" w:rsidR="002C2A31" w:rsidRPr="00B2412C" w:rsidRDefault="00E53C48" w:rsidP="002C2A31">
      <w:pPr>
        <w:pStyle w:val="ListParagraph"/>
        <w:numPr>
          <w:ilvl w:val="0"/>
          <w:numId w:val="23"/>
        </w:numPr>
      </w:pPr>
      <w:r w:rsidRPr="00B2412C">
        <w:t>Routines</w:t>
      </w:r>
    </w:p>
    <w:p w14:paraId="7B12343A" w14:textId="50A3A6F8" w:rsidR="0040362B" w:rsidRPr="00B2412C" w:rsidRDefault="0040362B" w:rsidP="002C2A31">
      <w:pPr>
        <w:pStyle w:val="ListParagraph"/>
        <w:numPr>
          <w:ilvl w:val="0"/>
          <w:numId w:val="23"/>
        </w:numPr>
      </w:pPr>
      <w:r w:rsidRPr="00B2412C">
        <w:t>New Menu Option</w:t>
      </w:r>
    </w:p>
    <w:p w14:paraId="046A8996" w14:textId="080CC7C4" w:rsidR="0040362B" w:rsidRPr="00B2412C" w:rsidRDefault="0040362B" w:rsidP="002C2A31">
      <w:pPr>
        <w:pStyle w:val="ListParagraph"/>
        <w:numPr>
          <w:ilvl w:val="0"/>
          <w:numId w:val="23"/>
        </w:numPr>
      </w:pPr>
      <w:r w:rsidRPr="00B2412C">
        <w:t>Protocols</w:t>
      </w:r>
    </w:p>
    <w:p w14:paraId="7213CB2C" w14:textId="58F7AA45" w:rsidR="00DE71B8" w:rsidRPr="00B2412C" w:rsidRDefault="00DE71B8" w:rsidP="002C2A31">
      <w:pPr>
        <w:pStyle w:val="ListParagraph"/>
        <w:numPr>
          <w:ilvl w:val="0"/>
          <w:numId w:val="23"/>
        </w:numPr>
      </w:pPr>
      <w:r w:rsidRPr="00B2412C">
        <w:t>Modifications to the following files:</w:t>
      </w:r>
    </w:p>
    <w:p w14:paraId="781F045F" w14:textId="6DA9B4D4" w:rsidR="00DE71B8" w:rsidRPr="00B2412C" w:rsidRDefault="00DE71B8" w:rsidP="00DE71B8">
      <w:pPr>
        <w:pStyle w:val="ListParagraph"/>
        <w:numPr>
          <w:ilvl w:val="1"/>
          <w:numId w:val="23"/>
        </w:numPr>
      </w:pPr>
      <w:r w:rsidRPr="00B2412C">
        <w:t>Insurance File [#36]</w:t>
      </w:r>
    </w:p>
    <w:p w14:paraId="304BF95A" w14:textId="228B1FA1" w:rsidR="00DE71B8" w:rsidRPr="00B2412C" w:rsidRDefault="00DE71B8" w:rsidP="00DE71B8">
      <w:pPr>
        <w:pStyle w:val="ListParagraph"/>
        <w:numPr>
          <w:ilvl w:val="1"/>
          <w:numId w:val="23"/>
        </w:numPr>
      </w:pPr>
      <w:r w:rsidRPr="00B2412C">
        <w:t>IB Error File [#350.8]</w:t>
      </w:r>
    </w:p>
    <w:p w14:paraId="4E492BA5" w14:textId="1C5F19A2" w:rsidR="00DE71B8" w:rsidRPr="00B2412C" w:rsidRDefault="00DE71B8" w:rsidP="00DE71B8">
      <w:pPr>
        <w:pStyle w:val="ListParagraph"/>
        <w:numPr>
          <w:ilvl w:val="1"/>
          <w:numId w:val="23"/>
        </w:numPr>
      </w:pPr>
      <w:r w:rsidRPr="00B2412C">
        <w:lastRenderedPageBreak/>
        <w:t>IB Site Parameters File</w:t>
      </w:r>
    </w:p>
    <w:p w14:paraId="681C2FB5" w14:textId="6505BDD9" w:rsidR="00DE71B8" w:rsidRPr="00B2412C" w:rsidRDefault="00DE71B8" w:rsidP="00DE71B8">
      <w:pPr>
        <w:pStyle w:val="ListParagraph"/>
        <w:numPr>
          <w:ilvl w:val="1"/>
          <w:numId w:val="23"/>
        </w:numPr>
      </w:pPr>
      <w:r w:rsidRPr="00B2412C">
        <w:t>IB Non/Other VA Billing Provider File</w:t>
      </w:r>
    </w:p>
    <w:p w14:paraId="1A05A132" w14:textId="7E695DF6" w:rsidR="00DE71B8" w:rsidRPr="00B2412C" w:rsidRDefault="00DE71B8" w:rsidP="00DE71B8">
      <w:pPr>
        <w:pStyle w:val="ListParagraph"/>
        <w:numPr>
          <w:ilvl w:val="1"/>
          <w:numId w:val="23"/>
        </w:numPr>
      </w:pPr>
      <w:r w:rsidRPr="00B2412C">
        <w:t>IB Form Skeleton Definition File</w:t>
      </w:r>
    </w:p>
    <w:p w14:paraId="4B6BB772" w14:textId="506E20FD" w:rsidR="00DE71B8" w:rsidRPr="00B2412C" w:rsidRDefault="00DE71B8" w:rsidP="00DE71B8">
      <w:pPr>
        <w:pStyle w:val="ListParagraph"/>
        <w:numPr>
          <w:ilvl w:val="1"/>
          <w:numId w:val="23"/>
        </w:numPr>
      </w:pPr>
      <w:r w:rsidRPr="00B2412C">
        <w:t>IB Form Field Content File</w:t>
      </w:r>
    </w:p>
    <w:p w14:paraId="2B46A67F" w14:textId="2BF4755C" w:rsidR="00DE71B8" w:rsidRPr="00B2412C" w:rsidRDefault="00DE71B8" w:rsidP="00DE71B8">
      <w:pPr>
        <w:pStyle w:val="ListParagraph"/>
        <w:numPr>
          <w:ilvl w:val="1"/>
          <w:numId w:val="23"/>
        </w:numPr>
      </w:pPr>
      <w:r w:rsidRPr="00B2412C">
        <w:t>Bill/Claims File [#399]</w:t>
      </w:r>
    </w:p>
    <w:p w14:paraId="3923E378" w14:textId="77777777" w:rsidR="00E51510" w:rsidRPr="00B2412C" w:rsidRDefault="00E51510" w:rsidP="00E53C48">
      <w:pPr>
        <w:pStyle w:val="ListParagraph"/>
        <w:numPr>
          <w:ilvl w:val="0"/>
          <w:numId w:val="23"/>
        </w:numPr>
      </w:pPr>
      <w:r w:rsidRPr="00B2412C">
        <w:t>Data Dictionary Changes</w:t>
      </w:r>
    </w:p>
    <w:p w14:paraId="30DA391A" w14:textId="77777777" w:rsidR="00D36356" w:rsidRDefault="00D36356" w:rsidP="00D36356"/>
    <w:p w14:paraId="3ECD715D" w14:textId="7FAF10C2" w:rsidR="00134E91" w:rsidRDefault="00134E91" w:rsidP="00134E91">
      <w:r>
        <w:t>While the VistA installation procedure of the KIDS build allows the installer to back up the modified routines using the ‘Backup a Transport Global’ action, the back-out procedure for global, data dictionary and other VistA comp</w:t>
      </w:r>
      <w:r w:rsidR="00B914CB">
        <w:t xml:space="preserve">onents is more complex and </w:t>
      </w:r>
      <w:r>
        <w:t>require</w:t>
      </w:r>
      <w:r w:rsidR="00B914CB">
        <w:t>s</w:t>
      </w:r>
      <w:r>
        <w:t xml:space="preserve"> issuance of a follow-up patch to ensure all components are properly removed</w:t>
      </w:r>
      <w:r w:rsidR="00AC60BB">
        <w:t xml:space="preserve"> and/or restored</w:t>
      </w:r>
      <w:r>
        <w:t>. All software components (routines and other items) must be restored to their previous state at the same time and in conjunction with the re</w:t>
      </w:r>
      <w:r w:rsidR="00595428">
        <w:t>storation of the data.</w:t>
      </w:r>
    </w:p>
    <w:p w14:paraId="6A82CB3C" w14:textId="77777777" w:rsidR="00134E91" w:rsidRDefault="00134E91" w:rsidP="00134E91"/>
    <w:p w14:paraId="36BB9D75" w14:textId="77777777" w:rsidR="00FE3D06" w:rsidRDefault="00134E91" w:rsidP="00B914CB">
      <w:r>
        <w:t>Please contact the EPMO</w:t>
      </w:r>
      <w:r w:rsidR="00B914CB">
        <w:t xml:space="preserve"> team for assistance since this installed patch contains components </w:t>
      </w:r>
      <w:r w:rsidR="00D40005">
        <w:t>in addition to</w:t>
      </w:r>
      <w:r w:rsidR="00B914CB">
        <w:t xml:space="preserve"> routines.</w:t>
      </w:r>
    </w:p>
    <w:p w14:paraId="5694511E" w14:textId="77777777" w:rsidR="00DE0518" w:rsidRDefault="00DE0518" w:rsidP="00740CBB">
      <w:pPr>
        <w:pStyle w:val="Heading2"/>
      </w:pPr>
      <w:bookmarkStart w:id="207" w:name="_Toc471396383"/>
      <w:bookmarkStart w:id="208" w:name="_Toc471401658"/>
      <w:bookmarkStart w:id="209" w:name="_Toc471401826"/>
      <w:bookmarkStart w:id="210" w:name="_Toc486338261"/>
      <w:bookmarkEnd w:id="207"/>
      <w:bookmarkEnd w:id="208"/>
      <w:bookmarkEnd w:id="209"/>
      <w:r w:rsidRPr="000666AC">
        <w:t>Back-out Verification</w:t>
      </w:r>
      <w:r>
        <w:t xml:space="preserve"> Procedure</w:t>
      </w:r>
      <w:bookmarkEnd w:id="210"/>
    </w:p>
    <w:p w14:paraId="12F8CDE8" w14:textId="6ACB59FC" w:rsidR="00BB138A" w:rsidRPr="00BB138A" w:rsidRDefault="004A250A" w:rsidP="00F10DB6">
      <w:r>
        <w:t>Successful back-out is confirmed by verification that the back-out patch was successfully installed</w:t>
      </w:r>
      <w:r w:rsidR="00FE3D06">
        <w:t>.</w:t>
      </w:r>
    </w:p>
    <w:p w14:paraId="6E00073C" w14:textId="77777777" w:rsidR="00AE5904" w:rsidRDefault="00AE5904" w:rsidP="00740CBB">
      <w:pPr>
        <w:pStyle w:val="Heading1"/>
      </w:pPr>
      <w:bookmarkStart w:id="211" w:name="_Toc486338262"/>
      <w:r>
        <w:t>Rollback Procedure</w:t>
      </w:r>
      <w:bookmarkEnd w:id="211"/>
    </w:p>
    <w:p w14:paraId="12226D5B" w14:textId="6E0D487A" w:rsidR="00AE5904" w:rsidRDefault="00460401" w:rsidP="00312833">
      <w:r w:rsidRPr="00460401">
        <w:t>Rollback</w:t>
      </w:r>
      <w:r w:rsidR="004A250A">
        <w:t xml:space="preserve"> pertains to data. </w:t>
      </w:r>
      <w:r w:rsidR="00595428">
        <w:t>Th</w:t>
      </w:r>
      <w:r w:rsidR="001C01B2">
        <w:t>e data that is affected by the installation of IB*2.0*577 are those fields that had their field lengths expanded.</w:t>
      </w:r>
    </w:p>
    <w:p w14:paraId="4DC9E68B" w14:textId="77777777" w:rsidR="0029309C" w:rsidRDefault="0029309C" w:rsidP="00740CBB">
      <w:pPr>
        <w:pStyle w:val="Heading2"/>
      </w:pPr>
      <w:bookmarkStart w:id="212" w:name="_Toc486338263"/>
      <w:r>
        <w:t>Rollback Considerations</w:t>
      </w:r>
      <w:bookmarkEnd w:id="212"/>
    </w:p>
    <w:p w14:paraId="559E3BF6" w14:textId="77777777" w:rsidR="0029309C" w:rsidRPr="0029309C" w:rsidRDefault="00460401" w:rsidP="00312833">
      <w:r>
        <w:t>Not applicable.</w:t>
      </w:r>
    </w:p>
    <w:p w14:paraId="326F2190" w14:textId="77777777" w:rsidR="0029309C" w:rsidRDefault="0029309C" w:rsidP="00740CBB">
      <w:pPr>
        <w:pStyle w:val="Heading2"/>
      </w:pPr>
      <w:bookmarkStart w:id="213" w:name="_Toc486338264"/>
      <w:r>
        <w:t>Rollback Criteria</w:t>
      </w:r>
      <w:bookmarkEnd w:id="213"/>
    </w:p>
    <w:p w14:paraId="6C6758F1" w14:textId="77777777" w:rsidR="0029309C" w:rsidRPr="0029309C" w:rsidRDefault="00460401" w:rsidP="00312833">
      <w:r>
        <w:t>Not applicable.</w:t>
      </w:r>
    </w:p>
    <w:p w14:paraId="53CC0844" w14:textId="77777777" w:rsidR="0029309C" w:rsidRDefault="0029309C" w:rsidP="00740CBB">
      <w:pPr>
        <w:pStyle w:val="Heading2"/>
      </w:pPr>
      <w:bookmarkStart w:id="214" w:name="_Toc486338265"/>
      <w:r>
        <w:t>Rollback Risks</w:t>
      </w:r>
      <w:bookmarkEnd w:id="214"/>
    </w:p>
    <w:p w14:paraId="5565F623" w14:textId="77777777" w:rsidR="00312833" w:rsidRDefault="00460401" w:rsidP="00312833">
      <w:r>
        <w:t>Not applicable.</w:t>
      </w:r>
    </w:p>
    <w:p w14:paraId="43A089F6" w14:textId="77777777" w:rsidR="0029309C" w:rsidRPr="0029309C" w:rsidRDefault="0029309C" w:rsidP="00740CBB">
      <w:pPr>
        <w:pStyle w:val="Heading2"/>
      </w:pPr>
      <w:bookmarkStart w:id="215" w:name="_Toc471312610"/>
      <w:bookmarkStart w:id="216" w:name="_Toc471313734"/>
      <w:bookmarkStart w:id="217" w:name="_Toc471396389"/>
      <w:bookmarkStart w:id="218" w:name="_Toc471401664"/>
      <w:bookmarkStart w:id="219" w:name="_Toc471401832"/>
      <w:bookmarkStart w:id="220" w:name="_Toc486338266"/>
      <w:bookmarkEnd w:id="215"/>
      <w:bookmarkEnd w:id="216"/>
      <w:bookmarkEnd w:id="217"/>
      <w:bookmarkEnd w:id="218"/>
      <w:bookmarkEnd w:id="219"/>
      <w:r>
        <w:t>Authority for Rollback</w:t>
      </w:r>
      <w:bookmarkEnd w:id="220"/>
    </w:p>
    <w:p w14:paraId="00D975C4" w14:textId="4B3224AD" w:rsidR="00AE5904" w:rsidRDefault="00460401" w:rsidP="00312833">
      <w:r>
        <w:t>Not applicable.</w:t>
      </w:r>
    </w:p>
    <w:p w14:paraId="31879A0D" w14:textId="77777777" w:rsidR="00DF0C18" w:rsidRDefault="00DF0C18" w:rsidP="00740CBB">
      <w:pPr>
        <w:pStyle w:val="Heading2"/>
      </w:pPr>
      <w:bookmarkStart w:id="221" w:name="_Toc486338267"/>
      <w:r>
        <w:t>Rollback Procedure</w:t>
      </w:r>
      <w:bookmarkEnd w:id="221"/>
    </w:p>
    <w:p w14:paraId="3A2DA0E4" w14:textId="77777777" w:rsidR="00DF0C18" w:rsidRDefault="00460401" w:rsidP="00312833">
      <w:r>
        <w:t>Not applicable.</w:t>
      </w:r>
    </w:p>
    <w:p w14:paraId="03822AB4" w14:textId="77777777" w:rsidR="00EE08BA" w:rsidRPr="00236972" w:rsidRDefault="00037CE1" w:rsidP="00740CBB">
      <w:pPr>
        <w:pStyle w:val="Heading2"/>
        <w:rPr>
          <w:rFonts w:ascii="Calibri" w:eastAsia="Calibri" w:hAnsi="Calibri"/>
          <w:sz w:val="22"/>
          <w:szCs w:val="22"/>
        </w:rPr>
      </w:pPr>
      <w:bookmarkStart w:id="222" w:name="_Toc486338268"/>
      <w:r>
        <w:t>Rollback Verification Procedure</w:t>
      </w:r>
      <w:bookmarkEnd w:id="222"/>
    </w:p>
    <w:p w14:paraId="24B30464" w14:textId="2D738746" w:rsidR="00853EF7" w:rsidRDefault="00853EF7" w:rsidP="002F71C2">
      <w:r>
        <w:t>Should it be decided to back-out IB*2.0*577</w:t>
      </w:r>
      <w:r w:rsidR="00824938">
        <w:t xml:space="preserve">, a utility routine is available to </w:t>
      </w:r>
      <w:r>
        <w:t>identify</w:t>
      </w:r>
      <w:r w:rsidR="00224712">
        <w:t xml:space="preserve"> the </w:t>
      </w:r>
      <w:r>
        <w:t>data</w:t>
      </w:r>
      <w:r w:rsidR="00824938">
        <w:t xml:space="preserve"> t</w:t>
      </w:r>
      <w:r w:rsidR="001C01B2">
        <w:t xml:space="preserve">hat </w:t>
      </w:r>
      <w:r>
        <w:t>exceeds the</w:t>
      </w:r>
      <w:r w:rsidR="001C01B2">
        <w:t xml:space="preserve"> </w:t>
      </w:r>
      <w:r>
        <w:t xml:space="preserve">restored field lengths. </w:t>
      </w:r>
      <w:r w:rsidR="00224712">
        <w:t>This utility will</w:t>
      </w:r>
      <w:r w:rsidR="00824938">
        <w:t xml:space="preserve"> not fix/rec</w:t>
      </w:r>
      <w:r w:rsidR="00224712">
        <w:t xml:space="preserve">over any of the data. </w:t>
      </w:r>
    </w:p>
    <w:p w14:paraId="09234B94" w14:textId="77777777" w:rsidR="00853EF7" w:rsidRDefault="00853EF7" w:rsidP="002F71C2"/>
    <w:p w14:paraId="3B20E1C6" w14:textId="341A99DB" w:rsidR="00FA1BF4" w:rsidRPr="00FA1BF4" w:rsidRDefault="00853EF7" w:rsidP="002F71C2">
      <w:r>
        <w:lastRenderedPageBreak/>
        <w:t xml:space="preserve">If a decision is made to back-out the longer fields, this utility will be included with a future version of the patch if backed-out during IOC. If this is backed-out post national release, the utility will be part of </w:t>
      </w:r>
      <w:r w:rsidR="00244F26">
        <w:t>a</w:t>
      </w:r>
      <w:r>
        <w:t xml:space="preserve"> warranty patch which restores the prio</w:t>
      </w:r>
      <w:r w:rsidR="00244F26">
        <w:t>r</w:t>
      </w:r>
      <w:r>
        <w:t xml:space="preserve"> field lengths.</w:t>
      </w:r>
    </w:p>
    <w:sectPr w:rsidR="00FA1BF4" w:rsidRPr="00FA1BF4" w:rsidSect="00E014AE">
      <w:pgSz w:w="12240" w:h="15840" w:code="1"/>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B757C6" w15:done="0"/>
  <w15:commentEx w15:paraId="1EC2ADC3" w15:done="0"/>
  <w15:commentEx w15:paraId="5EA64E30" w15:done="0"/>
  <w15:commentEx w15:paraId="551376E2" w15:done="0"/>
  <w15:commentEx w15:paraId="4D8120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B757C6" w16cid:durableId="1CFCD88D"/>
  <w16cid:commentId w16cid:paraId="1EC2ADC3" w16cid:durableId="1CFCA2D8"/>
  <w16cid:commentId w16cid:paraId="5EA64E30" w16cid:durableId="1CFCA3CF"/>
  <w16cid:commentId w16cid:paraId="551376E2" w16cid:durableId="1CFCA333"/>
  <w16cid:commentId w16cid:paraId="4D81208C" w16cid:durableId="1CFCC7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944809" w14:textId="77777777" w:rsidR="00CB2A6D" w:rsidRDefault="00CB2A6D">
      <w:r>
        <w:separator/>
      </w:r>
    </w:p>
    <w:p w14:paraId="5F9C6AD8" w14:textId="77777777" w:rsidR="00CB2A6D" w:rsidRDefault="00CB2A6D"/>
  </w:endnote>
  <w:endnote w:type="continuationSeparator" w:id="0">
    <w:p w14:paraId="52857EC4" w14:textId="77777777" w:rsidR="00CB2A6D" w:rsidRDefault="00CB2A6D">
      <w:r>
        <w:continuationSeparator/>
      </w:r>
    </w:p>
    <w:p w14:paraId="665D179E" w14:textId="77777777" w:rsidR="00CB2A6D" w:rsidRDefault="00CB2A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7C13" w14:textId="1E8C0B11" w:rsidR="00D0212F" w:rsidRPr="007748C3" w:rsidRDefault="00D0212F" w:rsidP="007748C3">
    <w:pPr>
      <w:pStyle w:val="Footer"/>
      <w:rPr>
        <w:rStyle w:val="FooterChar"/>
      </w:rPr>
    </w:pPr>
    <w:r>
      <w:rPr>
        <w:rStyle w:val="FooterChar"/>
      </w:rPr>
      <w:t>MCCF EDI TAS eBilling Build 2 IB*2.0*577</w:t>
    </w:r>
  </w:p>
  <w:p w14:paraId="4EBA9AA0" w14:textId="3C573B56" w:rsidR="00D0212F" w:rsidRPr="00721F7D" w:rsidRDefault="00D0212F" w:rsidP="00721F7D">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711867">
      <w:rPr>
        <w:rStyle w:val="FooterChar"/>
        <w:noProof/>
      </w:rPr>
      <w:t>v</w:t>
    </w:r>
    <w:r w:rsidRPr="00721F7D">
      <w:rPr>
        <w:rStyle w:val="FooterChar"/>
      </w:rPr>
      <w:fldChar w:fldCharType="end"/>
    </w:r>
    <w:r w:rsidRPr="00721F7D">
      <w:rPr>
        <w:rStyle w:val="FooterChar"/>
      </w:rPr>
      <w:tab/>
    </w:r>
    <w:r>
      <w:rPr>
        <w:rStyle w:val="FooterChar"/>
      </w:rPr>
      <w:t>June</w:t>
    </w:r>
    <w:r w:rsidRPr="007748C3">
      <w:rPr>
        <w:rStyle w:val="FooterChar"/>
      </w:rPr>
      <w:t xml:space="preserve">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976693" w14:textId="77777777" w:rsidR="00CB2A6D" w:rsidRDefault="00CB2A6D">
      <w:r>
        <w:separator/>
      </w:r>
    </w:p>
    <w:p w14:paraId="7246FA54" w14:textId="77777777" w:rsidR="00CB2A6D" w:rsidRDefault="00CB2A6D"/>
  </w:footnote>
  <w:footnote w:type="continuationSeparator" w:id="0">
    <w:p w14:paraId="641E6285" w14:textId="77777777" w:rsidR="00CB2A6D" w:rsidRDefault="00CB2A6D">
      <w:r>
        <w:continuationSeparator/>
      </w:r>
    </w:p>
    <w:p w14:paraId="7CB6758F" w14:textId="77777777" w:rsidR="00CB2A6D" w:rsidRDefault="00CB2A6D"/>
  </w:footnote>
  <w:footnote w:id="1">
    <w:p w14:paraId="2DC26394" w14:textId="18446087" w:rsidR="00D0212F" w:rsidRDefault="00D0212F">
      <w:pPr>
        <w:pStyle w:val="FootnoteText"/>
      </w:pPr>
      <w:r w:rsidRPr="00804125">
        <w:rPr>
          <w:rStyle w:val="FootnoteReference"/>
        </w:rPr>
        <w:footnoteRef/>
      </w:r>
      <w:r w:rsidRPr="00804125">
        <w:t xml:space="preserve"> Project schedule (right click and select open hyperlink to access)</w:t>
      </w:r>
    </w:p>
    <w:p w14:paraId="1572F9F6" w14:textId="77777777" w:rsidR="00D0212F" w:rsidRDefault="00CB2A6D">
      <w:pPr>
        <w:pStyle w:val="FootnoteText"/>
      </w:pPr>
      <w:hyperlink r:id="rId1" w:tooltip="http://vaww.oed.portal.va.gov/pm/hape/ipt_5010/EDI_Portfolio/TAS%20Interim%20Repository/MCCF%20TAS%20Schedule.zip" w:history="1">
        <w:r w:rsidR="00D0212F" w:rsidRPr="00256482">
          <w:rPr>
            <w:rStyle w:val="Hyperlink"/>
          </w:rPr>
          <w:t>http://vaww.oed.portal.va.gov/pm/hape/ipt_5010/EDI_Portfolio/TAS%20Interim%20Repository/MCCF%20TAS%20Schedule.zip</w:t>
        </w:r>
      </w:hyperlink>
    </w:p>
  </w:footnote>
  <w:footnote w:id="2">
    <w:p w14:paraId="76EC19FF" w14:textId="15249A02" w:rsidR="00D0212F" w:rsidRDefault="00D0212F">
      <w:pPr>
        <w:pStyle w:val="FootnoteText"/>
      </w:pPr>
      <w:r>
        <w:rPr>
          <w:rStyle w:val="FootnoteReference"/>
        </w:rPr>
        <w:footnoteRef/>
      </w:r>
      <w:r>
        <w:t xml:space="preserve"> “Enterprise service lines, VAD” for short. Formerly known as the IRM (Information Resources Management) or IT support.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CE86F0"/>
    <w:lvl w:ilvl="0">
      <w:start w:val="1"/>
      <w:numFmt w:val="decimal"/>
      <w:lvlText w:val="%1."/>
      <w:lvlJc w:val="left"/>
      <w:pPr>
        <w:tabs>
          <w:tab w:val="num" w:pos="1800"/>
        </w:tabs>
        <w:ind w:left="1800" w:hanging="360"/>
      </w:pPr>
    </w:lvl>
  </w:abstractNum>
  <w:abstractNum w:abstractNumId="1">
    <w:nsid w:val="FFFFFF7D"/>
    <w:multiLevelType w:val="singleLevel"/>
    <w:tmpl w:val="ECCE39DA"/>
    <w:lvl w:ilvl="0">
      <w:start w:val="1"/>
      <w:numFmt w:val="decimal"/>
      <w:lvlText w:val="%1."/>
      <w:lvlJc w:val="left"/>
      <w:pPr>
        <w:tabs>
          <w:tab w:val="num" w:pos="1440"/>
        </w:tabs>
        <w:ind w:left="1440" w:hanging="360"/>
      </w:pPr>
    </w:lvl>
  </w:abstractNum>
  <w:abstractNum w:abstractNumId="2">
    <w:nsid w:val="FFFFFF7E"/>
    <w:multiLevelType w:val="singleLevel"/>
    <w:tmpl w:val="0CB26C4A"/>
    <w:lvl w:ilvl="0">
      <w:start w:val="1"/>
      <w:numFmt w:val="decimal"/>
      <w:lvlText w:val="%1."/>
      <w:lvlJc w:val="left"/>
      <w:pPr>
        <w:tabs>
          <w:tab w:val="num" w:pos="1080"/>
        </w:tabs>
        <w:ind w:left="1080" w:hanging="360"/>
      </w:pPr>
    </w:lvl>
  </w:abstractNum>
  <w:abstractNum w:abstractNumId="3">
    <w:nsid w:val="FFFFFF7F"/>
    <w:multiLevelType w:val="singleLevel"/>
    <w:tmpl w:val="688C1F9C"/>
    <w:lvl w:ilvl="0">
      <w:start w:val="1"/>
      <w:numFmt w:val="decimal"/>
      <w:lvlText w:val="%1."/>
      <w:lvlJc w:val="left"/>
      <w:pPr>
        <w:tabs>
          <w:tab w:val="num" w:pos="720"/>
        </w:tabs>
        <w:ind w:left="720" w:hanging="360"/>
      </w:pPr>
    </w:lvl>
  </w:abstractNum>
  <w:abstractNum w:abstractNumId="4">
    <w:nsid w:val="FFFFFF80"/>
    <w:multiLevelType w:val="singleLevel"/>
    <w:tmpl w:val="E68E91D4"/>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32A406AA"/>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CDA3AC0"/>
    <w:lvl w:ilvl="0">
      <w:start w:val="1"/>
      <w:numFmt w:val="decimal"/>
      <w:lvlText w:val="%1."/>
      <w:lvlJc w:val="left"/>
      <w:pPr>
        <w:tabs>
          <w:tab w:val="num" w:pos="360"/>
        </w:tabs>
        <w:ind w:left="360" w:hanging="360"/>
      </w:pPr>
    </w:lvl>
  </w:abstractNum>
  <w:abstractNum w:abstractNumId="8">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94B7775"/>
    <w:multiLevelType w:val="multilevel"/>
    <w:tmpl w:val="CC1AA5D8"/>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4">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34740F55"/>
    <w:multiLevelType w:val="hybridMultilevel"/>
    <w:tmpl w:val="E4DC7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DB78C7"/>
    <w:multiLevelType w:val="hybridMultilevel"/>
    <w:tmpl w:val="FF6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9A30FB"/>
    <w:multiLevelType w:val="hybridMultilevel"/>
    <w:tmpl w:val="9BC8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nsid w:val="4EFC7247"/>
    <w:multiLevelType w:val="hybridMultilevel"/>
    <w:tmpl w:val="AD82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687C1F"/>
    <w:multiLevelType w:val="multilevel"/>
    <w:tmpl w:val="E79C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0B74B62"/>
    <w:multiLevelType w:val="hybridMultilevel"/>
    <w:tmpl w:val="70FA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87445F"/>
    <w:multiLevelType w:val="multilevel"/>
    <w:tmpl w:val="8856E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6">
    <w:nsid w:val="63130D58"/>
    <w:multiLevelType w:val="hybridMultilevel"/>
    <w:tmpl w:val="462E9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DE5EB7"/>
    <w:multiLevelType w:val="hybridMultilevel"/>
    <w:tmpl w:val="950EA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31">
    <w:nsid w:val="774440AD"/>
    <w:multiLevelType w:val="hybridMultilevel"/>
    <w:tmpl w:val="DB3C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547B97"/>
    <w:multiLevelType w:val="multilevel"/>
    <w:tmpl w:val="68B44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D4B09AF"/>
    <w:multiLevelType w:val="hybridMultilevel"/>
    <w:tmpl w:val="838A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10"/>
  </w:num>
  <w:num w:numId="4">
    <w:abstractNumId w:val="30"/>
  </w:num>
  <w:num w:numId="5">
    <w:abstractNumId w:val="34"/>
  </w:num>
  <w:num w:numId="6">
    <w:abstractNumId w:val="23"/>
  </w:num>
  <w:num w:numId="7">
    <w:abstractNumId w:val="13"/>
  </w:num>
  <w:num w:numId="8">
    <w:abstractNumId w:val="12"/>
  </w:num>
  <w:num w:numId="9">
    <w:abstractNumId w:val="15"/>
  </w:num>
  <w:num w:numId="10">
    <w:abstractNumId w:val="19"/>
  </w:num>
  <w:num w:numId="11">
    <w:abstractNumId w:val="14"/>
  </w:num>
  <w:num w:numId="12">
    <w:abstractNumId w:val="25"/>
  </w:num>
  <w:num w:numId="13">
    <w:abstractNumId w:val="9"/>
  </w:num>
  <w:num w:numId="14">
    <w:abstractNumId w:val="8"/>
  </w:num>
  <w:num w:numId="15">
    <w:abstractNumId w:val="6"/>
  </w:num>
  <w:num w:numId="16">
    <w:abstractNumId w:val="11"/>
  </w:num>
  <w:num w:numId="17">
    <w:abstractNumId w:val="26"/>
  </w:num>
  <w:num w:numId="18">
    <w:abstractNumId w:val="20"/>
  </w:num>
  <w:num w:numId="19">
    <w:abstractNumId w:val="17"/>
  </w:num>
  <w:num w:numId="20">
    <w:abstractNumId w:val="22"/>
  </w:num>
  <w:num w:numId="21">
    <w:abstractNumId w:val="16"/>
  </w:num>
  <w:num w:numId="22">
    <w:abstractNumId w:val="18"/>
  </w:num>
  <w:num w:numId="23">
    <w:abstractNumId w:val="27"/>
  </w:num>
  <w:num w:numId="24">
    <w:abstractNumId w:val="5"/>
  </w:num>
  <w:num w:numId="25">
    <w:abstractNumId w:val="4"/>
  </w:num>
  <w:num w:numId="26">
    <w:abstractNumId w:val="7"/>
  </w:num>
  <w:num w:numId="27">
    <w:abstractNumId w:val="3"/>
  </w:num>
  <w:num w:numId="28">
    <w:abstractNumId w:val="2"/>
  </w:num>
  <w:num w:numId="29">
    <w:abstractNumId w:val="1"/>
  </w:num>
  <w:num w:numId="30">
    <w:abstractNumId w:val="0"/>
  </w:num>
  <w:num w:numId="31">
    <w:abstractNumId w:val="21"/>
  </w:num>
  <w:num w:numId="32">
    <w:abstractNumId w:val="24"/>
  </w:num>
  <w:num w:numId="33">
    <w:abstractNumId w:val="32"/>
  </w:num>
  <w:num w:numId="34">
    <w:abstractNumId w:val="33"/>
  </w:num>
  <w:num w:numId="35">
    <w:abstractNumId w:val="31"/>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rry Connor">
    <w15:presenceInfo w15:providerId="AD" w15:userId="S-1-5-21-3879305808-3289165270-514292028-2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DateAndTime/>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AU" w:vendorID="64" w:dllVersion="0" w:nlCheck="1" w:checkStyle="0"/>
  <w:activeWritingStyle w:appName="MSWord" w:lang="en-US" w:vendorID="64" w:dllVersion="131078" w:nlCheck="1" w:checkStyle="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2D6C"/>
    <w:rsid w:val="0000416C"/>
    <w:rsid w:val="000063A7"/>
    <w:rsid w:val="0000675B"/>
    <w:rsid w:val="00006B8A"/>
    <w:rsid w:val="00006DB8"/>
    <w:rsid w:val="00010140"/>
    <w:rsid w:val="000114B6"/>
    <w:rsid w:val="00011EE6"/>
    <w:rsid w:val="0001226E"/>
    <w:rsid w:val="00013CF9"/>
    <w:rsid w:val="000169A1"/>
    <w:rsid w:val="000171DA"/>
    <w:rsid w:val="00017823"/>
    <w:rsid w:val="00023394"/>
    <w:rsid w:val="000263BB"/>
    <w:rsid w:val="00030C06"/>
    <w:rsid w:val="00032DBC"/>
    <w:rsid w:val="00037CE1"/>
    <w:rsid w:val="00040DCD"/>
    <w:rsid w:val="000425FE"/>
    <w:rsid w:val="00044EE8"/>
    <w:rsid w:val="0004636C"/>
    <w:rsid w:val="00050D8A"/>
    <w:rsid w:val="000512B6"/>
    <w:rsid w:val="00051BC7"/>
    <w:rsid w:val="000530D8"/>
    <w:rsid w:val="0005370A"/>
    <w:rsid w:val="00066588"/>
    <w:rsid w:val="000666AC"/>
    <w:rsid w:val="00067B11"/>
    <w:rsid w:val="00071609"/>
    <w:rsid w:val="000732DE"/>
    <w:rsid w:val="00074784"/>
    <w:rsid w:val="000754A3"/>
    <w:rsid w:val="0007778C"/>
    <w:rsid w:val="00086617"/>
    <w:rsid w:val="00086D68"/>
    <w:rsid w:val="0009184E"/>
    <w:rsid w:val="000919CB"/>
    <w:rsid w:val="000946A6"/>
    <w:rsid w:val="00096010"/>
    <w:rsid w:val="000967A2"/>
    <w:rsid w:val="000A23AE"/>
    <w:rsid w:val="000A50D8"/>
    <w:rsid w:val="000B23F8"/>
    <w:rsid w:val="000B4B85"/>
    <w:rsid w:val="000C63BF"/>
    <w:rsid w:val="000D05AC"/>
    <w:rsid w:val="000D2A67"/>
    <w:rsid w:val="000E42C1"/>
    <w:rsid w:val="000E6977"/>
    <w:rsid w:val="000E6E59"/>
    <w:rsid w:val="000F30B4"/>
    <w:rsid w:val="000F3438"/>
    <w:rsid w:val="00101B1F"/>
    <w:rsid w:val="0010320F"/>
    <w:rsid w:val="00104399"/>
    <w:rsid w:val="0010664C"/>
    <w:rsid w:val="00106B2E"/>
    <w:rsid w:val="00107971"/>
    <w:rsid w:val="0012060D"/>
    <w:rsid w:val="001277E8"/>
    <w:rsid w:val="00130AD5"/>
    <w:rsid w:val="00134E91"/>
    <w:rsid w:val="00141CDD"/>
    <w:rsid w:val="00141ED1"/>
    <w:rsid w:val="00142803"/>
    <w:rsid w:val="001449CE"/>
    <w:rsid w:val="00151087"/>
    <w:rsid w:val="001569DB"/>
    <w:rsid w:val="001574A4"/>
    <w:rsid w:val="00160824"/>
    <w:rsid w:val="00161ED8"/>
    <w:rsid w:val="001624C3"/>
    <w:rsid w:val="001645B5"/>
    <w:rsid w:val="00165AB8"/>
    <w:rsid w:val="00167933"/>
    <w:rsid w:val="00170E4B"/>
    <w:rsid w:val="00172D7F"/>
    <w:rsid w:val="00175C2D"/>
    <w:rsid w:val="001763A9"/>
    <w:rsid w:val="00176A74"/>
    <w:rsid w:val="001771B4"/>
    <w:rsid w:val="00180235"/>
    <w:rsid w:val="00186009"/>
    <w:rsid w:val="001962FB"/>
    <w:rsid w:val="00196684"/>
    <w:rsid w:val="001A0330"/>
    <w:rsid w:val="001A1826"/>
    <w:rsid w:val="001A3C5C"/>
    <w:rsid w:val="001A6795"/>
    <w:rsid w:val="001A75D9"/>
    <w:rsid w:val="001B0B28"/>
    <w:rsid w:val="001B3B73"/>
    <w:rsid w:val="001B7C65"/>
    <w:rsid w:val="001C01B2"/>
    <w:rsid w:val="001C4583"/>
    <w:rsid w:val="001C6D26"/>
    <w:rsid w:val="001D2505"/>
    <w:rsid w:val="001D3222"/>
    <w:rsid w:val="001D6650"/>
    <w:rsid w:val="001E1338"/>
    <w:rsid w:val="001E179E"/>
    <w:rsid w:val="001E1960"/>
    <w:rsid w:val="001E4B39"/>
    <w:rsid w:val="001F2E1D"/>
    <w:rsid w:val="002045CA"/>
    <w:rsid w:val="002079F9"/>
    <w:rsid w:val="0021144A"/>
    <w:rsid w:val="00215502"/>
    <w:rsid w:val="00217034"/>
    <w:rsid w:val="0021786A"/>
    <w:rsid w:val="00221E4D"/>
    <w:rsid w:val="00222831"/>
    <w:rsid w:val="00222FCD"/>
    <w:rsid w:val="00224712"/>
    <w:rsid w:val="002273CA"/>
    <w:rsid w:val="00227714"/>
    <w:rsid w:val="00230D11"/>
    <w:rsid w:val="00234111"/>
    <w:rsid w:val="00235475"/>
    <w:rsid w:val="002368E6"/>
    <w:rsid w:val="00236972"/>
    <w:rsid w:val="00240182"/>
    <w:rsid w:val="00243CE7"/>
    <w:rsid w:val="00244F26"/>
    <w:rsid w:val="00252BD5"/>
    <w:rsid w:val="00253561"/>
    <w:rsid w:val="00255B87"/>
    <w:rsid w:val="00256419"/>
    <w:rsid w:val="00256482"/>
    <w:rsid w:val="00256F04"/>
    <w:rsid w:val="00256F29"/>
    <w:rsid w:val="00262DDF"/>
    <w:rsid w:val="00264B55"/>
    <w:rsid w:val="00266366"/>
    <w:rsid w:val="00266D60"/>
    <w:rsid w:val="00271FF6"/>
    <w:rsid w:val="00273E31"/>
    <w:rsid w:val="00274BC6"/>
    <w:rsid w:val="00275372"/>
    <w:rsid w:val="00280A53"/>
    <w:rsid w:val="00281408"/>
    <w:rsid w:val="00281C97"/>
    <w:rsid w:val="00282CD4"/>
    <w:rsid w:val="00282EDE"/>
    <w:rsid w:val="0028784E"/>
    <w:rsid w:val="002923C6"/>
    <w:rsid w:val="00292B10"/>
    <w:rsid w:val="0029309C"/>
    <w:rsid w:val="00293859"/>
    <w:rsid w:val="00295C9B"/>
    <w:rsid w:val="002A0C8C"/>
    <w:rsid w:val="002A2EE5"/>
    <w:rsid w:val="002A3C48"/>
    <w:rsid w:val="002A47C2"/>
    <w:rsid w:val="002A4907"/>
    <w:rsid w:val="002B6ED5"/>
    <w:rsid w:val="002B735E"/>
    <w:rsid w:val="002B78A0"/>
    <w:rsid w:val="002C0E91"/>
    <w:rsid w:val="002C1137"/>
    <w:rsid w:val="002C1D37"/>
    <w:rsid w:val="002C2A31"/>
    <w:rsid w:val="002C2AD4"/>
    <w:rsid w:val="002C6335"/>
    <w:rsid w:val="002D0C49"/>
    <w:rsid w:val="002D14B4"/>
    <w:rsid w:val="002D1B52"/>
    <w:rsid w:val="002D300E"/>
    <w:rsid w:val="002D44AC"/>
    <w:rsid w:val="002D5204"/>
    <w:rsid w:val="002D73F9"/>
    <w:rsid w:val="002E1D8C"/>
    <w:rsid w:val="002E64EF"/>
    <w:rsid w:val="002E6F8F"/>
    <w:rsid w:val="002E751D"/>
    <w:rsid w:val="002F0076"/>
    <w:rsid w:val="002F1948"/>
    <w:rsid w:val="002F1E2E"/>
    <w:rsid w:val="002F4097"/>
    <w:rsid w:val="002F5410"/>
    <w:rsid w:val="002F5812"/>
    <w:rsid w:val="002F71C2"/>
    <w:rsid w:val="00303350"/>
    <w:rsid w:val="00303850"/>
    <w:rsid w:val="00305F50"/>
    <w:rsid w:val="003110DB"/>
    <w:rsid w:val="00312833"/>
    <w:rsid w:val="00314290"/>
    <w:rsid w:val="00314B90"/>
    <w:rsid w:val="003222C8"/>
    <w:rsid w:val="0032241E"/>
    <w:rsid w:val="003224BE"/>
    <w:rsid w:val="0032673E"/>
    <w:rsid w:val="00326966"/>
    <w:rsid w:val="00330D4E"/>
    <w:rsid w:val="00337F69"/>
    <w:rsid w:val="00340383"/>
    <w:rsid w:val="00341534"/>
    <w:rsid w:val="003417C9"/>
    <w:rsid w:val="00342E0C"/>
    <w:rsid w:val="00346959"/>
    <w:rsid w:val="003473C3"/>
    <w:rsid w:val="0035291B"/>
    <w:rsid w:val="00353152"/>
    <w:rsid w:val="003531A8"/>
    <w:rsid w:val="00354245"/>
    <w:rsid w:val="003548F0"/>
    <w:rsid w:val="0035510F"/>
    <w:rsid w:val="003565ED"/>
    <w:rsid w:val="00361BE2"/>
    <w:rsid w:val="003635CE"/>
    <w:rsid w:val="00370FF3"/>
    <w:rsid w:val="00372700"/>
    <w:rsid w:val="003731D8"/>
    <w:rsid w:val="0037352D"/>
    <w:rsid w:val="0037361D"/>
    <w:rsid w:val="00376DD4"/>
    <w:rsid w:val="00392B05"/>
    <w:rsid w:val="00396E2E"/>
    <w:rsid w:val="003A5126"/>
    <w:rsid w:val="003B5475"/>
    <w:rsid w:val="003B6DBA"/>
    <w:rsid w:val="003C2662"/>
    <w:rsid w:val="003C40B4"/>
    <w:rsid w:val="003C7B01"/>
    <w:rsid w:val="003D59EF"/>
    <w:rsid w:val="003D752B"/>
    <w:rsid w:val="003D76CF"/>
    <w:rsid w:val="003D7EA1"/>
    <w:rsid w:val="003E1F9E"/>
    <w:rsid w:val="003E2274"/>
    <w:rsid w:val="003E4236"/>
    <w:rsid w:val="003E4BA8"/>
    <w:rsid w:val="003E4F42"/>
    <w:rsid w:val="003F30DB"/>
    <w:rsid w:val="003F4789"/>
    <w:rsid w:val="003F5ACD"/>
    <w:rsid w:val="003F7009"/>
    <w:rsid w:val="00400353"/>
    <w:rsid w:val="0040362B"/>
    <w:rsid w:val="00403A9E"/>
    <w:rsid w:val="0040401C"/>
    <w:rsid w:val="00404951"/>
    <w:rsid w:val="00411A16"/>
    <w:rsid w:val="004145D9"/>
    <w:rsid w:val="0041600F"/>
    <w:rsid w:val="00417238"/>
    <w:rsid w:val="00417244"/>
    <w:rsid w:val="00423003"/>
    <w:rsid w:val="00423A58"/>
    <w:rsid w:val="004250FD"/>
    <w:rsid w:val="0042574F"/>
    <w:rsid w:val="0043004F"/>
    <w:rsid w:val="00430CEF"/>
    <w:rsid w:val="00433816"/>
    <w:rsid w:val="00440998"/>
    <w:rsid w:val="00440A78"/>
    <w:rsid w:val="00440E37"/>
    <w:rsid w:val="00442EC1"/>
    <w:rsid w:val="00444AFE"/>
    <w:rsid w:val="00445700"/>
    <w:rsid w:val="00445BF7"/>
    <w:rsid w:val="004501E8"/>
    <w:rsid w:val="00451181"/>
    <w:rsid w:val="00452DB6"/>
    <w:rsid w:val="00455CB4"/>
    <w:rsid w:val="00460401"/>
    <w:rsid w:val="00467F6F"/>
    <w:rsid w:val="00471B21"/>
    <w:rsid w:val="00474BBC"/>
    <w:rsid w:val="00477181"/>
    <w:rsid w:val="0048016C"/>
    <w:rsid w:val="004801E6"/>
    <w:rsid w:val="00480268"/>
    <w:rsid w:val="0048270F"/>
    <w:rsid w:val="0048455F"/>
    <w:rsid w:val="004849B1"/>
    <w:rsid w:val="0049295B"/>
    <w:rsid w:val="004929C8"/>
    <w:rsid w:val="00492BC7"/>
    <w:rsid w:val="00494A53"/>
    <w:rsid w:val="004A250A"/>
    <w:rsid w:val="004A28E1"/>
    <w:rsid w:val="004A615E"/>
    <w:rsid w:val="004B37EC"/>
    <w:rsid w:val="004B64EC"/>
    <w:rsid w:val="004B64FC"/>
    <w:rsid w:val="004C1D9C"/>
    <w:rsid w:val="004C2A6F"/>
    <w:rsid w:val="004D1F3B"/>
    <w:rsid w:val="004D3CB7"/>
    <w:rsid w:val="004D3FB6"/>
    <w:rsid w:val="004D5CD2"/>
    <w:rsid w:val="004D68E8"/>
    <w:rsid w:val="004E0AD3"/>
    <w:rsid w:val="004E0FAB"/>
    <w:rsid w:val="004E1BCC"/>
    <w:rsid w:val="004E3583"/>
    <w:rsid w:val="004E38A9"/>
    <w:rsid w:val="004E4E08"/>
    <w:rsid w:val="004E4F67"/>
    <w:rsid w:val="004F0FB3"/>
    <w:rsid w:val="004F31F1"/>
    <w:rsid w:val="004F3A80"/>
    <w:rsid w:val="00504BC1"/>
    <w:rsid w:val="005100F6"/>
    <w:rsid w:val="00510914"/>
    <w:rsid w:val="0051252D"/>
    <w:rsid w:val="00515F2A"/>
    <w:rsid w:val="005279CB"/>
    <w:rsid w:val="00527B5C"/>
    <w:rsid w:val="00527D1E"/>
    <w:rsid w:val="005302FE"/>
    <w:rsid w:val="00530D34"/>
    <w:rsid w:val="00531CD9"/>
    <w:rsid w:val="005327F9"/>
    <w:rsid w:val="00532B92"/>
    <w:rsid w:val="005356AF"/>
    <w:rsid w:val="005425EC"/>
    <w:rsid w:val="00543E06"/>
    <w:rsid w:val="0054476B"/>
    <w:rsid w:val="0054509E"/>
    <w:rsid w:val="005458C2"/>
    <w:rsid w:val="00545E48"/>
    <w:rsid w:val="00546FAB"/>
    <w:rsid w:val="00551CB4"/>
    <w:rsid w:val="00554B8F"/>
    <w:rsid w:val="00554C3A"/>
    <w:rsid w:val="00554DFE"/>
    <w:rsid w:val="00560721"/>
    <w:rsid w:val="00560F1B"/>
    <w:rsid w:val="005647C7"/>
    <w:rsid w:val="00565037"/>
    <w:rsid w:val="00566D6A"/>
    <w:rsid w:val="005714E2"/>
    <w:rsid w:val="005718DA"/>
    <w:rsid w:val="00575CFA"/>
    <w:rsid w:val="00576377"/>
    <w:rsid w:val="00577B5B"/>
    <w:rsid w:val="00584F2F"/>
    <w:rsid w:val="00585881"/>
    <w:rsid w:val="00594383"/>
    <w:rsid w:val="00595428"/>
    <w:rsid w:val="005A1C16"/>
    <w:rsid w:val="005A49F8"/>
    <w:rsid w:val="005A6B47"/>
    <w:rsid w:val="005A722B"/>
    <w:rsid w:val="005B166A"/>
    <w:rsid w:val="005B3D7A"/>
    <w:rsid w:val="005B3DE2"/>
    <w:rsid w:val="005B7CDD"/>
    <w:rsid w:val="005C09F2"/>
    <w:rsid w:val="005C4069"/>
    <w:rsid w:val="005C40E3"/>
    <w:rsid w:val="005C5ED2"/>
    <w:rsid w:val="005D10B1"/>
    <w:rsid w:val="005D18C5"/>
    <w:rsid w:val="005D3B22"/>
    <w:rsid w:val="005E1DA8"/>
    <w:rsid w:val="005E2AF9"/>
    <w:rsid w:val="005E2EC0"/>
    <w:rsid w:val="005F0F90"/>
    <w:rsid w:val="005F10A9"/>
    <w:rsid w:val="005F11F2"/>
    <w:rsid w:val="005F3344"/>
    <w:rsid w:val="005F5515"/>
    <w:rsid w:val="00600235"/>
    <w:rsid w:val="0060549A"/>
    <w:rsid w:val="0060568C"/>
    <w:rsid w:val="00606743"/>
    <w:rsid w:val="0061401D"/>
    <w:rsid w:val="00614A5E"/>
    <w:rsid w:val="0061708A"/>
    <w:rsid w:val="00620BFA"/>
    <w:rsid w:val="00623F1A"/>
    <w:rsid w:val="006244C7"/>
    <w:rsid w:val="00624A23"/>
    <w:rsid w:val="00637940"/>
    <w:rsid w:val="00642203"/>
    <w:rsid w:val="00642849"/>
    <w:rsid w:val="006460A0"/>
    <w:rsid w:val="0064769E"/>
    <w:rsid w:val="00647B03"/>
    <w:rsid w:val="00653F3B"/>
    <w:rsid w:val="0065443F"/>
    <w:rsid w:val="00655ECC"/>
    <w:rsid w:val="0065756A"/>
    <w:rsid w:val="0066022A"/>
    <w:rsid w:val="00661AFB"/>
    <w:rsid w:val="00663B92"/>
    <w:rsid w:val="00665BF6"/>
    <w:rsid w:val="00666A2A"/>
    <w:rsid w:val="006670D2"/>
    <w:rsid w:val="00667E47"/>
    <w:rsid w:val="00672750"/>
    <w:rsid w:val="00676736"/>
    <w:rsid w:val="00677451"/>
    <w:rsid w:val="0068018E"/>
    <w:rsid w:val="00680463"/>
    <w:rsid w:val="00680563"/>
    <w:rsid w:val="006819D0"/>
    <w:rsid w:val="00681F15"/>
    <w:rsid w:val="006835CA"/>
    <w:rsid w:val="00685E4D"/>
    <w:rsid w:val="00691431"/>
    <w:rsid w:val="006944C9"/>
    <w:rsid w:val="006954EE"/>
    <w:rsid w:val="00695E70"/>
    <w:rsid w:val="006962A8"/>
    <w:rsid w:val="006A0FC5"/>
    <w:rsid w:val="006A20A1"/>
    <w:rsid w:val="006A51B8"/>
    <w:rsid w:val="006A5F40"/>
    <w:rsid w:val="006A7603"/>
    <w:rsid w:val="006B2283"/>
    <w:rsid w:val="006C0BDB"/>
    <w:rsid w:val="006C2443"/>
    <w:rsid w:val="006C2A7B"/>
    <w:rsid w:val="006C51ED"/>
    <w:rsid w:val="006C5BE3"/>
    <w:rsid w:val="006C6DBA"/>
    <w:rsid w:val="006C74F4"/>
    <w:rsid w:val="006C7ACD"/>
    <w:rsid w:val="006D4142"/>
    <w:rsid w:val="006D5670"/>
    <w:rsid w:val="006D68DA"/>
    <w:rsid w:val="006D7017"/>
    <w:rsid w:val="006E32E0"/>
    <w:rsid w:val="006E5523"/>
    <w:rsid w:val="006E6F06"/>
    <w:rsid w:val="006F044F"/>
    <w:rsid w:val="006F19F7"/>
    <w:rsid w:val="006F2013"/>
    <w:rsid w:val="006F22F0"/>
    <w:rsid w:val="006F46F7"/>
    <w:rsid w:val="006F6D65"/>
    <w:rsid w:val="00700E4A"/>
    <w:rsid w:val="0070753F"/>
    <w:rsid w:val="00707CAD"/>
    <w:rsid w:val="00711867"/>
    <w:rsid w:val="00714730"/>
    <w:rsid w:val="00715F75"/>
    <w:rsid w:val="00716E8A"/>
    <w:rsid w:val="007206A5"/>
    <w:rsid w:val="00721F7D"/>
    <w:rsid w:val="007238FF"/>
    <w:rsid w:val="00724D3C"/>
    <w:rsid w:val="0072569B"/>
    <w:rsid w:val="00725C30"/>
    <w:rsid w:val="00726ED6"/>
    <w:rsid w:val="00727E4A"/>
    <w:rsid w:val="0073003B"/>
    <w:rsid w:val="0073078F"/>
    <w:rsid w:val="007316E5"/>
    <w:rsid w:val="00731B93"/>
    <w:rsid w:val="00732090"/>
    <w:rsid w:val="00736B0D"/>
    <w:rsid w:val="00740CBB"/>
    <w:rsid w:val="0074263B"/>
    <w:rsid w:val="00742D4B"/>
    <w:rsid w:val="00744F0F"/>
    <w:rsid w:val="007453E5"/>
    <w:rsid w:val="00750FDE"/>
    <w:rsid w:val="007537E2"/>
    <w:rsid w:val="0075637C"/>
    <w:rsid w:val="00762B56"/>
    <w:rsid w:val="00763DBB"/>
    <w:rsid w:val="007654AB"/>
    <w:rsid w:val="00765E89"/>
    <w:rsid w:val="00767528"/>
    <w:rsid w:val="007748C3"/>
    <w:rsid w:val="007809A2"/>
    <w:rsid w:val="00781144"/>
    <w:rsid w:val="00782046"/>
    <w:rsid w:val="0078266A"/>
    <w:rsid w:val="00785EB7"/>
    <w:rsid w:val="007864FA"/>
    <w:rsid w:val="0078769E"/>
    <w:rsid w:val="00790159"/>
    <w:rsid w:val="007926DE"/>
    <w:rsid w:val="00792AE9"/>
    <w:rsid w:val="00793809"/>
    <w:rsid w:val="00797D2E"/>
    <w:rsid w:val="007A39CC"/>
    <w:rsid w:val="007A6696"/>
    <w:rsid w:val="007B25C8"/>
    <w:rsid w:val="007B3D18"/>
    <w:rsid w:val="007B5233"/>
    <w:rsid w:val="007B5526"/>
    <w:rsid w:val="007B65D7"/>
    <w:rsid w:val="007C2637"/>
    <w:rsid w:val="007D6783"/>
    <w:rsid w:val="007E05D4"/>
    <w:rsid w:val="007E3F2F"/>
    <w:rsid w:val="007E4370"/>
    <w:rsid w:val="007E58A8"/>
    <w:rsid w:val="007F3F50"/>
    <w:rsid w:val="007F767C"/>
    <w:rsid w:val="007F7EB6"/>
    <w:rsid w:val="00801B32"/>
    <w:rsid w:val="0080386B"/>
    <w:rsid w:val="00804125"/>
    <w:rsid w:val="00804C09"/>
    <w:rsid w:val="00806CF9"/>
    <w:rsid w:val="00806E2E"/>
    <w:rsid w:val="00812CDB"/>
    <w:rsid w:val="008132A0"/>
    <w:rsid w:val="0081388D"/>
    <w:rsid w:val="0081501F"/>
    <w:rsid w:val="008159EE"/>
    <w:rsid w:val="00821FD9"/>
    <w:rsid w:val="008237CA"/>
    <w:rsid w:val="008241A1"/>
    <w:rsid w:val="008243FE"/>
    <w:rsid w:val="0082491E"/>
    <w:rsid w:val="00824938"/>
    <w:rsid w:val="00825350"/>
    <w:rsid w:val="008308C2"/>
    <w:rsid w:val="008427C1"/>
    <w:rsid w:val="0084454F"/>
    <w:rsid w:val="0084477C"/>
    <w:rsid w:val="00845BB9"/>
    <w:rsid w:val="00847214"/>
    <w:rsid w:val="00851812"/>
    <w:rsid w:val="008525BF"/>
    <w:rsid w:val="00853EF7"/>
    <w:rsid w:val="00854402"/>
    <w:rsid w:val="00854A54"/>
    <w:rsid w:val="00856A08"/>
    <w:rsid w:val="00863B21"/>
    <w:rsid w:val="008654DD"/>
    <w:rsid w:val="00871E3C"/>
    <w:rsid w:val="0088044F"/>
    <w:rsid w:val="00880C3D"/>
    <w:rsid w:val="008831EB"/>
    <w:rsid w:val="00884724"/>
    <w:rsid w:val="00886638"/>
    <w:rsid w:val="00887D77"/>
    <w:rsid w:val="00890C77"/>
    <w:rsid w:val="00891E38"/>
    <w:rsid w:val="00892A19"/>
    <w:rsid w:val="0089427A"/>
    <w:rsid w:val="008A0AAB"/>
    <w:rsid w:val="008A1731"/>
    <w:rsid w:val="008A3E08"/>
    <w:rsid w:val="008A4AE4"/>
    <w:rsid w:val="008A7052"/>
    <w:rsid w:val="008A783A"/>
    <w:rsid w:val="008C2304"/>
    <w:rsid w:val="008C4576"/>
    <w:rsid w:val="008C6A3C"/>
    <w:rsid w:val="008D011D"/>
    <w:rsid w:val="008D191D"/>
    <w:rsid w:val="008D4F55"/>
    <w:rsid w:val="008E3EF4"/>
    <w:rsid w:val="008E661A"/>
    <w:rsid w:val="008F298E"/>
    <w:rsid w:val="008F43AA"/>
    <w:rsid w:val="008F57C6"/>
    <w:rsid w:val="008F7F54"/>
    <w:rsid w:val="009011D4"/>
    <w:rsid w:val="009016D5"/>
    <w:rsid w:val="009017F1"/>
    <w:rsid w:val="00901D12"/>
    <w:rsid w:val="00906711"/>
    <w:rsid w:val="009068FD"/>
    <w:rsid w:val="00906EEB"/>
    <w:rsid w:val="009071B9"/>
    <w:rsid w:val="009106C1"/>
    <w:rsid w:val="009123D8"/>
    <w:rsid w:val="00913512"/>
    <w:rsid w:val="00922D53"/>
    <w:rsid w:val="0092534A"/>
    <w:rsid w:val="00932358"/>
    <w:rsid w:val="00932CFD"/>
    <w:rsid w:val="0093332B"/>
    <w:rsid w:val="00941056"/>
    <w:rsid w:val="00941C00"/>
    <w:rsid w:val="00943004"/>
    <w:rsid w:val="009453C1"/>
    <w:rsid w:val="00947AE3"/>
    <w:rsid w:val="0095133D"/>
    <w:rsid w:val="0095200D"/>
    <w:rsid w:val="00961FED"/>
    <w:rsid w:val="00963347"/>
    <w:rsid w:val="0096728B"/>
    <w:rsid w:val="00967C1C"/>
    <w:rsid w:val="009707F7"/>
    <w:rsid w:val="00975AC4"/>
    <w:rsid w:val="009763BD"/>
    <w:rsid w:val="00984DA0"/>
    <w:rsid w:val="00985426"/>
    <w:rsid w:val="00985EF6"/>
    <w:rsid w:val="0098694A"/>
    <w:rsid w:val="00991613"/>
    <w:rsid w:val="009917A8"/>
    <w:rsid w:val="009921F2"/>
    <w:rsid w:val="009932CA"/>
    <w:rsid w:val="00996839"/>
    <w:rsid w:val="00996E0A"/>
    <w:rsid w:val="009976DD"/>
    <w:rsid w:val="009A003E"/>
    <w:rsid w:val="009A0140"/>
    <w:rsid w:val="009A09A6"/>
    <w:rsid w:val="009A3206"/>
    <w:rsid w:val="009B1957"/>
    <w:rsid w:val="009B2E03"/>
    <w:rsid w:val="009B3CD1"/>
    <w:rsid w:val="009B480C"/>
    <w:rsid w:val="009C0B83"/>
    <w:rsid w:val="009C12F0"/>
    <w:rsid w:val="009C18A4"/>
    <w:rsid w:val="009C28D5"/>
    <w:rsid w:val="009C2EF0"/>
    <w:rsid w:val="009C4C5F"/>
    <w:rsid w:val="009C53F3"/>
    <w:rsid w:val="009D0689"/>
    <w:rsid w:val="009D368C"/>
    <w:rsid w:val="009D4125"/>
    <w:rsid w:val="009E0B82"/>
    <w:rsid w:val="009E67B2"/>
    <w:rsid w:val="009F5E75"/>
    <w:rsid w:val="009F77D2"/>
    <w:rsid w:val="00A04018"/>
    <w:rsid w:val="00A0550C"/>
    <w:rsid w:val="00A0557D"/>
    <w:rsid w:val="00A05CA6"/>
    <w:rsid w:val="00A066A3"/>
    <w:rsid w:val="00A136DC"/>
    <w:rsid w:val="00A149C0"/>
    <w:rsid w:val="00A16887"/>
    <w:rsid w:val="00A17DC4"/>
    <w:rsid w:val="00A24CF9"/>
    <w:rsid w:val="00A26450"/>
    <w:rsid w:val="00A26617"/>
    <w:rsid w:val="00A303CE"/>
    <w:rsid w:val="00A32A5D"/>
    <w:rsid w:val="00A33E10"/>
    <w:rsid w:val="00A3457E"/>
    <w:rsid w:val="00A367B9"/>
    <w:rsid w:val="00A42BF8"/>
    <w:rsid w:val="00A43AA1"/>
    <w:rsid w:val="00A45FA6"/>
    <w:rsid w:val="00A50396"/>
    <w:rsid w:val="00A5476F"/>
    <w:rsid w:val="00A61AAD"/>
    <w:rsid w:val="00A655D4"/>
    <w:rsid w:val="00A72A1B"/>
    <w:rsid w:val="00A733F5"/>
    <w:rsid w:val="00A74634"/>
    <w:rsid w:val="00A753C8"/>
    <w:rsid w:val="00A7554B"/>
    <w:rsid w:val="00A806C7"/>
    <w:rsid w:val="00A82B68"/>
    <w:rsid w:val="00A83D56"/>
    <w:rsid w:val="00A83EB5"/>
    <w:rsid w:val="00A87F24"/>
    <w:rsid w:val="00A92A77"/>
    <w:rsid w:val="00A944F4"/>
    <w:rsid w:val="00AA0F64"/>
    <w:rsid w:val="00AA22D6"/>
    <w:rsid w:val="00AA337E"/>
    <w:rsid w:val="00AA6982"/>
    <w:rsid w:val="00AA7363"/>
    <w:rsid w:val="00AB1194"/>
    <w:rsid w:val="00AB173C"/>
    <w:rsid w:val="00AB177C"/>
    <w:rsid w:val="00AB1954"/>
    <w:rsid w:val="00AB2C7C"/>
    <w:rsid w:val="00AC60BB"/>
    <w:rsid w:val="00AC7E45"/>
    <w:rsid w:val="00AD074D"/>
    <w:rsid w:val="00AD2556"/>
    <w:rsid w:val="00AD3975"/>
    <w:rsid w:val="00AD49AF"/>
    <w:rsid w:val="00AD4E85"/>
    <w:rsid w:val="00AD50AE"/>
    <w:rsid w:val="00AE0630"/>
    <w:rsid w:val="00AE42E9"/>
    <w:rsid w:val="00AE5904"/>
    <w:rsid w:val="00AF7B66"/>
    <w:rsid w:val="00B0338D"/>
    <w:rsid w:val="00B04771"/>
    <w:rsid w:val="00B140A4"/>
    <w:rsid w:val="00B2412C"/>
    <w:rsid w:val="00B254C3"/>
    <w:rsid w:val="00B2683C"/>
    <w:rsid w:val="00B324E7"/>
    <w:rsid w:val="00B3250F"/>
    <w:rsid w:val="00B33FDA"/>
    <w:rsid w:val="00B43397"/>
    <w:rsid w:val="00B470C6"/>
    <w:rsid w:val="00B55A93"/>
    <w:rsid w:val="00B63092"/>
    <w:rsid w:val="00B667B2"/>
    <w:rsid w:val="00B66F83"/>
    <w:rsid w:val="00B6706C"/>
    <w:rsid w:val="00B725E5"/>
    <w:rsid w:val="00B7436C"/>
    <w:rsid w:val="00B74C64"/>
    <w:rsid w:val="00B7743B"/>
    <w:rsid w:val="00B811B1"/>
    <w:rsid w:val="00B8218C"/>
    <w:rsid w:val="00B83F9C"/>
    <w:rsid w:val="00B847DD"/>
    <w:rsid w:val="00B84AAD"/>
    <w:rsid w:val="00B85604"/>
    <w:rsid w:val="00B859DB"/>
    <w:rsid w:val="00B85EE9"/>
    <w:rsid w:val="00B8745A"/>
    <w:rsid w:val="00B877FC"/>
    <w:rsid w:val="00B914CB"/>
    <w:rsid w:val="00B92868"/>
    <w:rsid w:val="00B934A1"/>
    <w:rsid w:val="00B959D1"/>
    <w:rsid w:val="00B95E0E"/>
    <w:rsid w:val="00BA788C"/>
    <w:rsid w:val="00BB138A"/>
    <w:rsid w:val="00BB52EE"/>
    <w:rsid w:val="00BB7924"/>
    <w:rsid w:val="00BC2D41"/>
    <w:rsid w:val="00BE065D"/>
    <w:rsid w:val="00BE7AD9"/>
    <w:rsid w:val="00BF1EB7"/>
    <w:rsid w:val="00BF2C5A"/>
    <w:rsid w:val="00C033C1"/>
    <w:rsid w:val="00C0346C"/>
    <w:rsid w:val="00C03950"/>
    <w:rsid w:val="00C06D0B"/>
    <w:rsid w:val="00C1097E"/>
    <w:rsid w:val="00C13654"/>
    <w:rsid w:val="00C206A5"/>
    <w:rsid w:val="00C24579"/>
    <w:rsid w:val="00C2503A"/>
    <w:rsid w:val="00C27658"/>
    <w:rsid w:val="00C3000C"/>
    <w:rsid w:val="00C33F7F"/>
    <w:rsid w:val="00C364BF"/>
    <w:rsid w:val="00C36612"/>
    <w:rsid w:val="00C36ED5"/>
    <w:rsid w:val="00C3721E"/>
    <w:rsid w:val="00C37EB4"/>
    <w:rsid w:val="00C40A90"/>
    <w:rsid w:val="00C40E89"/>
    <w:rsid w:val="00C43240"/>
    <w:rsid w:val="00C44C32"/>
    <w:rsid w:val="00C44E3B"/>
    <w:rsid w:val="00C5168B"/>
    <w:rsid w:val="00C53D0C"/>
    <w:rsid w:val="00C54796"/>
    <w:rsid w:val="00C613B6"/>
    <w:rsid w:val="00C70C47"/>
    <w:rsid w:val="00C71D62"/>
    <w:rsid w:val="00C730AB"/>
    <w:rsid w:val="00C73281"/>
    <w:rsid w:val="00C73322"/>
    <w:rsid w:val="00C84F82"/>
    <w:rsid w:val="00C87EDC"/>
    <w:rsid w:val="00C92154"/>
    <w:rsid w:val="00C93BF9"/>
    <w:rsid w:val="00C9421A"/>
    <w:rsid w:val="00C946FE"/>
    <w:rsid w:val="00C95C25"/>
    <w:rsid w:val="00C95CAB"/>
    <w:rsid w:val="00C96FD1"/>
    <w:rsid w:val="00CA1477"/>
    <w:rsid w:val="00CA1A57"/>
    <w:rsid w:val="00CA3262"/>
    <w:rsid w:val="00CA5DF5"/>
    <w:rsid w:val="00CB2298"/>
    <w:rsid w:val="00CB2A6D"/>
    <w:rsid w:val="00CB2A72"/>
    <w:rsid w:val="00CB4EB8"/>
    <w:rsid w:val="00CC0FFA"/>
    <w:rsid w:val="00CC439B"/>
    <w:rsid w:val="00CC7C2E"/>
    <w:rsid w:val="00CD4F2E"/>
    <w:rsid w:val="00CD7013"/>
    <w:rsid w:val="00CE0368"/>
    <w:rsid w:val="00CE61F4"/>
    <w:rsid w:val="00CF08BF"/>
    <w:rsid w:val="00CF2656"/>
    <w:rsid w:val="00CF5A24"/>
    <w:rsid w:val="00CF686C"/>
    <w:rsid w:val="00D008F5"/>
    <w:rsid w:val="00D0212F"/>
    <w:rsid w:val="00D070E7"/>
    <w:rsid w:val="00D139F1"/>
    <w:rsid w:val="00D217F2"/>
    <w:rsid w:val="00D24DFC"/>
    <w:rsid w:val="00D3172E"/>
    <w:rsid w:val="00D31A82"/>
    <w:rsid w:val="00D32163"/>
    <w:rsid w:val="00D36356"/>
    <w:rsid w:val="00D3642C"/>
    <w:rsid w:val="00D370DE"/>
    <w:rsid w:val="00D40005"/>
    <w:rsid w:val="00D40073"/>
    <w:rsid w:val="00D412A6"/>
    <w:rsid w:val="00D41E05"/>
    <w:rsid w:val="00D43555"/>
    <w:rsid w:val="00D43937"/>
    <w:rsid w:val="00D4529D"/>
    <w:rsid w:val="00D45493"/>
    <w:rsid w:val="00D47972"/>
    <w:rsid w:val="00D56F05"/>
    <w:rsid w:val="00D575F5"/>
    <w:rsid w:val="00D600C3"/>
    <w:rsid w:val="00D60C86"/>
    <w:rsid w:val="00D61DC5"/>
    <w:rsid w:val="00D61FF5"/>
    <w:rsid w:val="00D62E5D"/>
    <w:rsid w:val="00D6461B"/>
    <w:rsid w:val="00D672E7"/>
    <w:rsid w:val="00D672EA"/>
    <w:rsid w:val="00D713C8"/>
    <w:rsid w:val="00D71B75"/>
    <w:rsid w:val="00D8257D"/>
    <w:rsid w:val="00D83562"/>
    <w:rsid w:val="00D87E85"/>
    <w:rsid w:val="00D9124C"/>
    <w:rsid w:val="00D927A9"/>
    <w:rsid w:val="00D93822"/>
    <w:rsid w:val="00D942CA"/>
    <w:rsid w:val="00D957C8"/>
    <w:rsid w:val="00D96BA2"/>
    <w:rsid w:val="00DA2261"/>
    <w:rsid w:val="00DA3AE3"/>
    <w:rsid w:val="00DA7BB1"/>
    <w:rsid w:val="00DA7E40"/>
    <w:rsid w:val="00DB00E5"/>
    <w:rsid w:val="00DB10AF"/>
    <w:rsid w:val="00DB4A3F"/>
    <w:rsid w:val="00DC13CA"/>
    <w:rsid w:val="00DC3FD5"/>
    <w:rsid w:val="00DC49E2"/>
    <w:rsid w:val="00DC5861"/>
    <w:rsid w:val="00DD565E"/>
    <w:rsid w:val="00DD6972"/>
    <w:rsid w:val="00DD6ABC"/>
    <w:rsid w:val="00DE0518"/>
    <w:rsid w:val="00DE11B2"/>
    <w:rsid w:val="00DE2CD8"/>
    <w:rsid w:val="00DE37FC"/>
    <w:rsid w:val="00DE4947"/>
    <w:rsid w:val="00DE71B8"/>
    <w:rsid w:val="00DF0C18"/>
    <w:rsid w:val="00DF38D6"/>
    <w:rsid w:val="00DF6735"/>
    <w:rsid w:val="00DF6B4A"/>
    <w:rsid w:val="00E014AE"/>
    <w:rsid w:val="00E01D32"/>
    <w:rsid w:val="00E02B61"/>
    <w:rsid w:val="00E03070"/>
    <w:rsid w:val="00E068F2"/>
    <w:rsid w:val="00E10B79"/>
    <w:rsid w:val="00E14BCB"/>
    <w:rsid w:val="00E17D10"/>
    <w:rsid w:val="00E2245D"/>
    <w:rsid w:val="00E2302E"/>
    <w:rsid w:val="00E2381D"/>
    <w:rsid w:val="00E24621"/>
    <w:rsid w:val="00E2463A"/>
    <w:rsid w:val="00E30DBF"/>
    <w:rsid w:val="00E319D1"/>
    <w:rsid w:val="00E3221B"/>
    <w:rsid w:val="00E3386A"/>
    <w:rsid w:val="00E42B55"/>
    <w:rsid w:val="00E4512E"/>
    <w:rsid w:val="00E47040"/>
    <w:rsid w:val="00E47D1B"/>
    <w:rsid w:val="00E51510"/>
    <w:rsid w:val="00E53C48"/>
    <w:rsid w:val="00E54302"/>
    <w:rsid w:val="00E54E10"/>
    <w:rsid w:val="00E57819"/>
    <w:rsid w:val="00E57CF1"/>
    <w:rsid w:val="00E648C4"/>
    <w:rsid w:val="00E6750E"/>
    <w:rsid w:val="00E773E8"/>
    <w:rsid w:val="00E82172"/>
    <w:rsid w:val="00E8378E"/>
    <w:rsid w:val="00E8761A"/>
    <w:rsid w:val="00E9007C"/>
    <w:rsid w:val="00E96B4B"/>
    <w:rsid w:val="00EA1C70"/>
    <w:rsid w:val="00EA333E"/>
    <w:rsid w:val="00EA4B53"/>
    <w:rsid w:val="00EA6E32"/>
    <w:rsid w:val="00EB1439"/>
    <w:rsid w:val="00EB45EC"/>
    <w:rsid w:val="00EB4A1D"/>
    <w:rsid w:val="00EB771E"/>
    <w:rsid w:val="00EB7F5F"/>
    <w:rsid w:val="00EC0144"/>
    <w:rsid w:val="00EC0593"/>
    <w:rsid w:val="00EC32C2"/>
    <w:rsid w:val="00EC51AF"/>
    <w:rsid w:val="00ED3680"/>
    <w:rsid w:val="00ED4712"/>
    <w:rsid w:val="00ED4C8B"/>
    <w:rsid w:val="00ED699D"/>
    <w:rsid w:val="00EE08BA"/>
    <w:rsid w:val="00EE37E8"/>
    <w:rsid w:val="00EE4B6A"/>
    <w:rsid w:val="00EE4C2A"/>
    <w:rsid w:val="00EE63AB"/>
    <w:rsid w:val="00EE7C81"/>
    <w:rsid w:val="00EF0C86"/>
    <w:rsid w:val="00EF5D68"/>
    <w:rsid w:val="00F01925"/>
    <w:rsid w:val="00F07689"/>
    <w:rsid w:val="00F10DB6"/>
    <w:rsid w:val="00F11DC6"/>
    <w:rsid w:val="00F11DF6"/>
    <w:rsid w:val="00F16DEB"/>
    <w:rsid w:val="00F214A8"/>
    <w:rsid w:val="00F225AF"/>
    <w:rsid w:val="00F243F5"/>
    <w:rsid w:val="00F26464"/>
    <w:rsid w:val="00F308F9"/>
    <w:rsid w:val="00F30F36"/>
    <w:rsid w:val="00F33DEC"/>
    <w:rsid w:val="00F34C34"/>
    <w:rsid w:val="00F35AD6"/>
    <w:rsid w:val="00F361F8"/>
    <w:rsid w:val="00F37DFA"/>
    <w:rsid w:val="00F4062E"/>
    <w:rsid w:val="00F4182E"/>
    <w:rsid w:val="00F41862"/>
    <w:rsid w:val="00F421D2"/>
    <w:rsid w:val="00F46BBA"/>
    <w:rsid w:val="00F5014A"/>
    <w:rsid w:val="00F508AF"/>
    <w:rsid w:val="00F524D9"/>
    <w:rsid w:val="00F527C1"/>
    <w:rsid w:val="00F54831"/>
    <w:rsid w:val="00F55683"/>
    <w:rsid w:val="00F57F42"/>
    <w:rsid w:val="00F601FD"/>
    <w:rsid w:val="00F61A80"/>
    <w:rsid w:val="00F62933"/>
    <w:rsid w:val="00F64BE3"/>
    <w:rsid w:val="00F662FD"/>
    <w:rsid w:val="00F6698D"/>
    <w:rsid w:val="00F67326"/>
    <w:rsid w:val="00F70A05"/>
    <w:rsid w:val="00F7216E"/>
    <w:rsid w:val="00F741A0"/>
    <w:rsid w:val="00F8617D"/>
    <w:rsid w:val="00F866E3"/>
    <w:rsid w:val="00F879AC"/>
    <w:rsid w:val="00F91887"/>
    <w:rsid w:val="00F91A26"/>
    <w:rsid w:val="00F93F9E"/>
    <w:rsid w:val="00F94C8A"/>
    <w:rsid w:val="00F9794C"/>
    <w:rsid w:val="00FA1BF4"/>
    <w:rsid w:val="00FA25B6"/>
    <w:rsid w:val="00FA3A85"/>
    <w:rsid w:val="00FA5B5C"/>
    <w:rsid w:val="00FA5EDC"/>
    <w:rsid w:val="00FB0839"/>
    <w:rsid w:val="00FB15D6"/>
    <w:rsid w:val="00FB2171"/>
    <w:rsid w:val="00FC25FE"/>
    <w:rsid w:val="00FC38C3"/>
    <w:rsid w:val="00FC5E24"/>
    <w:rsid w:val="00FC5F3C"/>
    <w:rsid w:val="00FD2649"/>
    <w:rsid w:val="00FD5ADD"/>
    <w:rsid w:val="00FD6DC0"/>
    <w:rsid w:val="00FD717B"/>
    <w:rsid w:val="00FD7CA6"/>
    <w:rsid w:val="00FE0067"/>
    <w:rsid w:val="00FE092C"/>
    <w:rsid w:val="00FE0A33"/>
    <w:rsid w:val="00FE1601"/>
    <w:rsid w:val="00FE37C8"/>
    <w:rsid w:val="00FE3863"/>
    <w:rsid w:val="00FE3D06"/>
    <w:rsid w:val="00FE4A49"/>
    <w:rsid w:val="00FE4E0E"/>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938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yi-Hebr"/>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Bullet" w:uiPriority="99" w:qFormat="1"/>
    <w:lsdException w:name="List Number" w:semiHidden="0" w:unhideWhenUsed="0"/>
    <w:lsdException w:name="List 4" w:semiHidden="0" w:unhideWhenUsed="0"/>
    <w:lsdException w:name="List 5" w:semiHidden="0" w:unhideWhenUsed="0"/>
    <w:lsdException w:name="List Bullet 2" w:qFormat="1"/>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AB1954"/>
    <w:pPr>
      <w:numPr>
        <w:ilvl w:val="1"/>
      </w:numPr>
      <w:tabs>
        <w:tab w:val="clear" w:pos="540"/>
        <w:tab w:val="left" w:pos="720"/>
      </w:tabs>
      <w:ind w:left="763"/>
      <w:outlineLvl w:val="1"/>
    </w:pPr>
    <w:rPr>
      <w:iCs/>
      <w:sz w:val="32"/>
      <w:szCs w:val="28"/>
    </w:rPr>
  </w:style>
  <w:style w:type="paragraph" w:styleId="Heading3">
    <w:name w:val="heading 3"/>
    <w:basedOn w:val="Heading2"/>
    <w:next w:val="BodyText"/>
    <w:autoRedefine/>
    <w:qFormat/>
    <w:rsid w:val="00AB1954"/>
    <w:pPr>
      <w:numPr>
        <w:ilvl w:val="2"/>
      </w:numPr>
      <w:tabs>
        <w:tab w:val="clear" w:pos="720"/>
        <w:tab w:val="left" w:pos="900"/>
      </w:tabs>
      <w:ind w:left="900" w:hanging="900"/>
      <w:outlineLvl w:val="2"/>
    </w:pPr>
    <w:rPr>
      <w:bCs w:val="0"/>
      <w:iCs w:val="0"/>
      <w:sz w:val="28"/>
      <w:szCs w:val="26"/>
    </w:rPr>
  </w:style>
  <w:style w:type="paragraph" w:styleId="Heading4">
    <w:name w:val="heading 4"/>
    <w:basedOn w:val="Heading3"/>
    <w:next w:val="BodyText"/>
    <w:autoRedefine/>
    <w:qFormat/>
    <w:rsid w:val="009B480C"/>
    <w:pPr>
      <w:numPr>
        <w:ilvl w:val="3"/>
      </w:numPr>
      <w:ind w:left="900"/>
      <w:outlineLvl w:val="3"/>
    </w:pPr>
    <w:rPr>
      <w:sz w:val="26"/>
      <w:szCs w:val="28"/>
    </w:rPr>
  </w:style>
  <w:style w:type="paragraph" w:styleId="Heading5">
    <w:name w:val="heading 5"/>
    <w:basedOn w:val="Heading4"/>
    <w:next w:val="BodyText"/>
    <w:qFormat/>
    <w:rsid w:val="0032673E"/>
    <w:pPr>
      <w:numPr>
        <w:ilvl w:val="4"/>
      </w:numPr>
      <w:tabs>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255B87"/>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ListParagraph">
    <w:name w:val="List Paragraph"/>
    <w:basedOn w:val="Normal"/>
    <w:uiPriority w:val="34"/>
    <w:qFormat/>
    <w:rsid w:val="006C51ED"/>
    <w:pPr>
      <w:ind w:left="720"/>
      <w:contextualSpacing/>
    </w:pPr>
  </w:style>
  <w:style w:type="paragraph" w:styleId="TableofFigures">
    <w:name w:val="table of figures"/>
    <w:basedOn w:val="Normal"/>
    <w:next w:val="Normal"/>
    <w:uiPriority w:val="99"/>
    <w:unhideWhenUsed/>
    <w:rsid w:val="00255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375813305">
      <w:bodyDiv w:val="1"/>
      <w:marLeft w:val="60"/>
      <w:marRight w:val="60"/>
      <w:marTop w:val="60"/>
      <w:marBottom w:val="60"/>
      <w:divBdr>
        <w:top w:val="none" w:sz="0" w:space="0" w:color="auto"/>
        <w:left w:val="none" w:sz="0" w:space="0" w:color="auto"/>
        <w:bottom w:val="none" w:sz="0" w:space="0" w:color="auto"/>
        <w:right w:val="none" w:sz="0" w:space="0" w:color="auto"/>
      </w:divBdr>
    </w:div>
    <w:div w:id="747195347">
      <w:bodyDiv w:val="1"/>
      <w:marLeft w:val="60"/>
      <w:marRight w:val="60"/>
      <w:marTop w:val="60"/>
      <w:marBottom w:val="6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07875627">
      <w:bodyDiv w:val="1"/>
      <w:marLeft w:val="60"/>
      <w:marRight w:val="60"/>
      <w:marTop w:val="60"/>
      <w:marBottom w:val="60"/>
      <w:divBdr>
        <w:top w:val="none" w:sz="0" w:space="0" w:color="auto"/>
        <w:left w:val="none" w:sz="0" w:space="0" w:color="auto"/>
        <w:bottom w:val="none" w:sz="0" w:space="0" w:color="auto"/>
        <w:right w:val="none" w:sz="0" w:space="0" w:color="auto"/>
      </w:divBdr>
    </w:div>
    <w:div w:id="1579752410">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vaww.oed.portal.va.gov/pm/hape/ipt_5010/EDI_Portfolio/TAS%20Interim%20Repository/MCCF%20TAS%20Schedul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e7663c1fcff5c2e6022477c95496ec06">
  <xsd:schema xmlns:xsd="http://www.w3.org/2001/XMLSchema" xmlns:xs="http://www.w3.org/2001/XMLSchema" xmlns:p="http://schemas.microsoft.com/office/2006/metadata/properties" xmlns:ns2="dccbc5df-29b3-4670-b8f5-ce9b6d6a1832" targetNamespace="http://schemas.microsoft.com/office/2006/metadata/properties" ma:root="true" ma:fieldsID="fdf68a86bd0da0ce85bfb8f7fab78218"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amp; 2 Templates"/>
          <xsd:enumeration value="CD1 Required Documentation Templates"/>
          <xsd:enumeration value="CD2 Required Documentation Templates"/>
          <xsd:enumeration value="TechStat"/>
          <xsd:enumeration value="Red Flag"/>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567F3-4B25-447E-A2D9-1DDD022D31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7994EE-9A3C-46A0-AA3E-20C4619B20E2}">
  <ds:schemaRefs>
    <ds:schemaRef ds:uri="http://schemas.microsoft.com/office/2006/metadata/properties"/>
    <ds:schemaRef ds:uri="http://schemas.microsoft.com/office/infopath/2007/PartnerControls"/>
    <ds:schemaRef ds:uri="dccbc5df-29b3-4670-b8f5-ce9b6d6a1832"/>
  </ds:schemaRefs>
</ds:datastoreItem>
</file>

<file path=customXml/itemProps3.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4.xml><?xml version="1.0" encoding="utf-8"?>
<ds:datastoreItem xmlns:ds="http://schemas.openxmlformats.org/officeDocument/2006/customXml" ds:itemID="{4094CC51-ABA9-4D4D-8059-4AC5E5C9B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4020</Words>
  <Characters>22915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Medical Care Collection Fund (MCCF) Electronic Data Interchange (EDI) Transaction Applications Suite (TAS) eBilling Build 2 Integrated Billing IB*2.0*577 Version 1.0 Deployment, Installation, Back-Out, and Rollback Guide</vt:lpstr>
    </vt:vector>
  </TitlesOfParts>
  <Company>Dept. of Veterans Affairs</Company>
  <LinksUpToDate>false</LinksUpToDate>
  <CharactersWithSpaces>26882</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Care Collection Fund (MCCF) Electronic Data Interchange (EDI) Transaction Applications Suite (TAS) eBilling Build 2 Integrated Billing IB*2.0*577 Version 1.0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cp:lastModifiedBy>Department of Veterans Affairs</cp:lastModifiedBy>
  <cp:revision>2</cp:revision>
  <cp:lastPrinted>2016-02-11T18:58:00Z</cp:lastPrinted>
  <dcterms:created xsi:type="dcterms:W3CDTF">2017-06-27T18:49:00Z</dcterms:created>
  <dcterms:modified xsi:type="dcterms:W3CDTF">2017-06-27T18:49:00Z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0x0101004B55E56D3DD6DC4BB3756304B0ED6A72</vt:lpwstr>
  </property>
</Properties>
</file>