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FR-J-25 (M — added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DDQ answer bank</w:t>
      </w:r>
      <w:r>
        <w:t xml:space="preserve">: a per-fund due-diligence Q&amp;A repository — LP questionnaire questions answered once and reused, organised by category, seeded from</w:t>
      </w:r>
      <w:r>
        <w:t xml:space="preserve"> </w:t>
      </w:r>
      <w:r>
        <w:rPr>
          <w:b/>
          <w:bCs/>
        </w:rPr>
        <w:t xml:space="preserve">standard-question presets</w:t>
      </w:r>
      <w:r>
        <w:t xml:space="preserve"> </w:t>
      </w:r>
      <w:r>
        <w:t xml:space="preserve">(firm, fund terms, track record, SEBI compliance, valuation policy, conflicts, service providers, ESG), duplicate questions rejected, and exportable as a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with category sections (unanswered questions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mapping an incoming LP DDQ onto bank answers.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Segment comparison</w:t>
      </w:r>
      <w:r>
        <w:t xml:space="preserve"> </w:t>
      </w:r>
      <w:r>
        <w:t xml:space="preserve">— investments carry a free-text</w:t>
      </w:r>
      <w:r>
        <w:t xml:space="preserve"> </w:t>
      </w:r>
      <w:r>
        <w:rPr>
          <w:rStyle w:val="VerbatimChar"/>
        </w:rPr>
        <w:t xml:space="preserve">sector</w:t>
      </w:r>
      <w:r>
        <w:t xml:space="preserve"> </w:t>
      </w:r>
      <w:r>
        <w:t xml:space="preserve">tag; the benchmark payload adds per-segment cohorts (median per metric + company count per sector, untagged grouped as "—", hidden when only one cohort exists); sector chips on the monitoring table and a segment-medians table under the benchmark table.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rPr>
          <w:i/>
          <w:iCs/>
        </w:rPr>
        <w:t xml:space="preserve">(v1.7 visual batch)</w:t>
      </w:r>
      <w:r>
        <w:t xml:space="preserve"> </w:t>
      </w:r>
      <w:r>
        <w:t xml:space="preserve">— per-metric distribution stats (min / Q1 / median / Q3 / max / total / reporters) as Q1/Q3 ticks on the range strips and a Distribution table.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vintage cohorts.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Variance report</w:t>
      </w:r>
      <w:r>
        <w:t xml:space="preserve"> </w:t>
      </w:r>
      <w:r>
        <w:t xml:space="preserve">— the plan payload adds a row-per-metric plan-vs-actual table with a signed variance %: committed capital, capital deployed to date (planned = even pacing × fund years elapsed since the first</w:t>
      </w:r>
      <w:r>
        <w:t xml:space="preserve"> </w:t>
      </w:r>
      <w:r>
        <w:rPr>
          <w:rStyle w:val="VerbatimChar"/>
        </w:rPr>
        <w:t xml:space="preserve">invested_on</w:t>
      </w:r>
      <w:r>
        <w:t xml:space="preserve">), average initial cheque, portfolio companies, gross MOIC (actual = fair value over cost, unmarked positions at cost) and net TVPI (actual from fund performance; blank until capital is paid in). Rendered under Plan-vs-actual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v1.8 (2026-07-21)</w:t>
      </w:r>
      <w:r>
        <w:t xml:space="preserve"> </w:t>
      </w:r>
      <w:r>
        <w:t xml:space="preserve">— simplicity pass (feature packs + navigation de-duplication, startup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Workspace / entity teardown (destructive, guarded)</w:t>
      </w:r>
      <w:r>
        <w:t xml:space="preserve"> </w:t>
      </w:r>
      <w:r>
        <w:t xml:space="preserve">✅ — a founder can now delete a workspace or an individual entity and everything that hangs off it.</w:t>
      </w:r>
      <w:r>
        <w:t xml:space="preserve"> </w:t>
      </w:r>
      <w:r>
        <w:rPr>
          <w:rStyle w:val="VerbatimChar"/>
        </w:rPr>
        <w:t xml:space="preserve">services/teardown.py</w:t>
      </w:r>
      <w:r>
        <w:t xml:space="preserve"> </w:t>
      </w:r>
      <w:r>
        <w:t xml:space="preserve">walks the foreign-key graph from a root row (a</w:t>
      </w:r>
      <w:r>
        <w:t xml:space="preserve"> </w:t>
      </w:r>
      <w:r>
        <w:rPr>
          <w:rStyle w:val="VerbatimChar"/>
        </w:rPr>
        <w:t xml:space="preserve">legal_entity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) and deletes the transitive closure of rows that reference it — so indirectly-owned records (an ESOP grant off a stakeholder, a round commitment, a drawdown notice) go too, with no hard-coded table list. The same closure powers a dry-run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(row counts per area). Endpoints:</w:t>
      </w:r>
      <w:r>
        <w:t xml:space="preserve"> </w:t>
      </w:r>
      <w:r>
        <w:rPr>
          <w:rStyle w:val="VerbatimChar"/>
        </w:rPr>
        <w:t xml:space="preserve">GET/POST /entities/{id}/teardown[-preview]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/tenants/{id}/teardown[-preview]</w:t>
      </w:r>
      <w:r>
        <w:t xml:space="preserve">.</w:t>
      </w:r>
      <w:r>
        <w:t xml:space="preserve"> </w:t>
      </w:r>
      <w:r>
        <w:rPr>
          <w:b/>
          <w:bCs/>
        </w:rPr>
        <w:t xml:space="preserve">Guards:</w:t>
      </w:r>
      <w:r>
        <w:t xml:space="preserve"> </w:t>
      </w:r>
      <w:r>
        <w:t xml:space="preserve">owner-only (403 otherwise) and a type-to-confirm — the request body must echo the exact name (400 on mismatch). Frontend</w:t>
      </w:r>
      <w:r>
        <w:t xml:space="preserve"> </w:t>
      </w:r>
      <w:r>
        <w:rPr>
          <w:rStyle w:val="VerbatimChar"/>
        </w:rPr>
        <w:t xml:space="preserve">TeardownDialog</w:t>
      </w:r>
      <w:r>
        <w:t xml:space="preserve"> </w:t>
      </w:r>
      <w:r>
        <w:t xml:space="preserve">shows the preview breakdown and only enables the destructive button once the user types the name; wired into the Workspaces list and the Entities list. The safe empty-only</w:t>
      </w:r>
      <w:r>
        <w:t xml:space="preserve"> </w:t>
      </w:r>
      <w:r>
        <w:rPr>
          <w:rStyle w:val="VerbatimChar"/>
        </w:rPr>
        <w:t xml:space="preserve">DELETE /tenants/{id}</w:t>
      </w:r>
      <w:r>
        <w:t xml:space="preserve"> </w:t>
      </w:r>
      <w:r>
        <w:t xml:space="preserve">stays as a quick primitive. 3 tests (</w:t>
      </w:r>
      <w:r>
        <w:rPr>
          <w:rStyle w:val="VerbatimChar"/>
        </w:rPr>
        <w:t xml:space="preserve">test_teardown.py</w:t>
      </w:r>
      <w:r>
        <w:t xml:space="preserve">). No schema change.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Feature packs (Starter / Growth / Scale)</w:t>
      </w:r>
      <w:r>
        <w:t xml:space="preserve"> </w:t>
      </w:r>
      <w:r>
        <w:t xml:space="preserve">✅ — a company workspace now carries a commercial</w:t>
      </w:r>
      <w:r>
        <w:t xml:space="preserve"> </w:t>
      </w:r>
      <w:r>
        <w:rPr>
          <w:b/>
          <w:bCs/>
        </w:rPr>
        <w:t xml:space="preserve">pack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legal_entities.pack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e7f8a9b0c1d2</w:t>
      </w:r>
      <w:r>
        <w:t xml:space="preserve">) that is the single axis deciding which tabs and in-tab feature-parts are visible; the lifecycle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is reduced to driving only the "what to do now" checklist and the suggested next step.</w:t>
      </w:r>
      <w:r>
        <w:t xml:space="preserve"> </w:t>
      </w:r>
      <w:r>
        <w:rPr>
          <w:rStyle w:val="VerbatimChar"/>
        </w:rPr>
        <w:t xml:space="preserve">app/stages.py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TAB_PACK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FEATURE_PACK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PACK_INFO</w:t>
      </w:r>
      <w:r>
        <w:t xml:space="preserve"> </w:t>
      </w:r>
      <w:r>
        <w:t xml:space="preserve">(cumulative starter ⊂ growth ⊂ scale) and</w:t>
      </w:r>
      <w:r>
        <w:t xml:space="preserve"> </w:t>
      </w:r>
      <w:r>
        <w:rPr>
          <w:rStyle w:val="VerbatimChar"/>
        </w:rPr>
        <w:t xml:space="preserve">pack_for_stage</w:t>
      </w:r>
      <w:r>
        <w:t xml:space="preserve">;</w:t>
      </w:r>
      <w:r>
        <w:t xml:space="preserve"> </w:t>
      </w:r>
      <w:r>
        <w:rPr>
          <w:rStyle w:val="VerbatimChar"/>
        </w:rPr>
        <w:t xml:space="preserve">stage_guide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suggested_pack</w:t>
      </w:r>
      <w:r>
        <w:t xml:space="preserve"> </w:t>
      </w:r>
      <w:r>
        <w:t xml:space="preserve">and now sources</w:t>
      </w:r>
      <w:r>
        <w:t xml:space="preserve"> </w:t>
      </w:r>
      <w:r>
        <w:rPr>
          <w:rStyle w:val="VerbatimChar"/>
        </w:rPr>
        <w:t xml:space="preserve">tabs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 </w:t>
      </w:r>
      <w:r>
        <w:t xml:space="preserve">from the pack. New</w:t>
      </w:r>
      <w:r>
        <w:t xml:space="preserve"> </w:t>
      </w:r>
      <w:r>
        <w:rPr>
          <w:rStyle w:val="VerbatimChar"/>
        </w:rPr>
        <w:t xml:space="preserve">PUT /entities/{id}/pack</w:t>
      </w:r>
      <w:r>
        <w:t xml:space="preserve"> </w:t>
      </w:r>
      <w:r>
        <w:t xml:space="preserve">(companies only, 400 for funds/SPVs).</w:t>
      </w:r>
      <w:r>
        <w:t xml:space="preserve"> </w:t>
      </w:r>
      <w:r>
        <w:rPr>
          <w:b/>
          <w:bCs/>
        </w:rPr>
        <w:t xml:space="preserve">Starter</w:t>
      </w:r>
      <w:r>
        <w:t xml:space="preserve"> </w:t>
      </w:r>
      <w:r>
        <w:t xml:space="preserve">= day-one legal hygiene (dashboard, tasks, cap table, ESOP, team, governance, compliance, registers, documents, Startup India, marketplace);</w:t>
      </w:r>
      <w:r>
        <w:t xml:space="preserve"> </w:t>
      </w:r>
      <w:r>
        <w:rPr>
          <w:b/>
          <w:bCs/>
        </w:rPr>
        <w:t xml:space="preserve">Growth</w:t>
      </w:r>
      <w:r>
        <w:t xml:space="preserve"> </w:t>
      </w:r>
      <w:r>
        <w:t xml:space="preserve">adds raising (rounds &amp; SAFEs, valuations, diligence, investors, contracts, finance, advisors, data room);</w:t>
      </w:r>
      <w: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adds advanced cap-table actions (waterfall, anti-dilution, demat, corporate actions), managed admin and fund/SPV administration. Frontend:</w:t>
      </w:r>
      <w:r>
        <w:t xml:space="preserve"> </w:t>
      </w:r>
      <w:r>
        <w:rPr>
          <w:rStyle w:val="VerbatimChar"/>
        </w:rPr>
        <w:t xml:space="preserve">EntityDetail</w:t>
      </w:r>
      <w:r>
        <w:t xml:space="preserve"> </w:t>
      </w:r>
      <w:r>
        <w:t xml:space="preserve">gains a Plan selector + a suggested-pack banner beside the Stage picker; the "All features" toggle becomes "Show everything / Plan view". This</w:t>
      </w:r>
      <w:r>
        <w:t xml:space="preserve"> </w:t>
      </w:r>
      <w:r>
        <w:rPr>
          <w:b/>
          <w:bCs/>
        </w:rPr>
        <w:t xml:space="preserve">trims the day-one surface</w:t>
      </w:r>
      <w:r>
        <w:t xml:space="preserve"> </w:t>
      </w:r>
      <w:r>
        <w:t xml:space="preserve">and folds the old two-axis (stage-tabs + feature-flags) gating into one.</w:t>
      </w:r>
      <w:r>
        <w:t xml:space="preserve"> </w:t>
      </w:r>
      <w:r>
        <w:rPr>
          <w:rStyle w:val="VerbatimChar"/>
        </w:rPr>
        <w:t xml:space="preserve">test_stage.py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test_journey.py</w:t>
      </w:r>
      <w:r>
        <w:t xml:space="preserve"> </w:t>
      </w:r>
      <w:r>
        <w:t xml:space="preserve">updated for the pack model.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Navigation de-duplication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one word, "workspace"</w:t>
      </w:r>
      <w:r>
        <w:t xml:space="preserve">, everywhere the tenant layer appears (was Workspaces / Organisations / organisation); (2)</w:t>
      </w:r>
      <w:r>
        <w:t xml:space="preserve"> </w:t>
      </w:r>
      <w:r>
        <w:rPr>
          <w:b/>
          <w:bCs/>
        </w:rPr>
        <w:t xml:space="preserve">Documents consolidated</w:t>
      </w:r>
      <w:r>
        <w:t xml:space="preserve"> </w:t>
      </w:r>
      <w:r>
        <w:t xml:space="preserve">— Files and Data Room fold into a single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tab with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Data room</w:t>
      </w:r>
      <w:r>
        <w:t xml:space="preserve"> </w:t>
      </w:r>
      <w:r>
        <w:t xml:space="preserve">sub-views (data room gated to Growth), and tax-filing records move to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("Tax filings"); (3)</w:t>
      </w:r>
      <w:r>
        <w:t xml:space="preserve"> </w:t>
      </w:r>
      <w:r>
        <w:rPr>
          <w:b/>
          <w:bCs/>
        </w:rPr>
        <w:t xml:space="preserve">Workflows removed</w:t>
      </w:r>
      <w:r>
        <w:t xml:space="preserve"> </w:t>
      </w:r>
      <w:r>
        <w:t xml:space="preserve">— the dashboard stage-checklist, incorporation wizard and Rounds &amp; SAFEs hub already drive those multi-step processes (frontend</w:t>
      </w:r>
      <w:r>
        <w:t xml:space="preserve"> </w:t>
      </w:r>
      <w:r>
        <w:rPr>
          <w:rStyle w:val="VerbatimChar"/>
        </w:rPr>
        <w:t xml:space="preserve">Workflows.tsx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Files.tsx</w:t>
      </w:r>
      <w:r>
        <w:t xml:space="preserve"> </w:t>
      </w:r>
      <w:r>
        <w:t xml:space="preserve">deleted; command-palette and Getting-Started copy updated; the diligence readiness "data room" link now points at Documents). No new capability; three top-level tabs removed from the company workspace.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QA / polish pass (Visible + Rundit batches)</w:t>
      </w:r>
      <w:r>
        <w:t xml:space="preserve"> </w:t>
      </w:r>
      <w:r>
        <w:t xml:space="preserve">✅ — two-agent correctness review of the recent build-out; the four flagged suspect areas (report-period month arithmetic, follow-on running-total vs delta, expense-sign in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, benchmark quartile math) all verified correct. Fixes: (1)</w:t>
      </w:r>
      <w:r>
        <w:t xml:space="preserve"> </w:t>
      </w:r>
      <w:r>
        <w:rPr>
          <w:rStyle w:val="VerbatimChar"/>
        </w:rPr>
        <w:t xml:space="preserve">delete_kpi_definition</w:t>
      </w:r>
      <w:r>
        <w:t xml:space="preserve"> </w:t>
      </w:r>
      <w:r>
        <w:t xml:space="preserve">now cascade-deletes any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so a deleted custom metric can't leave a silent no-op rule in the catalog; (2)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engagement recording now works for fund LPs and SPV co-investors who see an update via fund/SPV membership (previously 404'd for lack of a company-level</w:t>
      </w:r>
      <w:r>
        <w:t xml:space="preserve"> </w:t>
      </w:r>
      <w:r>
        <w:rPr>
          <w:rStyle w:val="VerbatimChar"/>
        </w:rPr>
        <w:t xml:space="preserve">InvestorAccess</w:t>
      </w:r>
      <w:r>
        <w:t xml:space="preserve"> </w:t>
      </w:r>
      <w:r>
        <w:t xml:space="preserve">row) — new</w:t>
      </w:r>
      <w:r>
        <w:t xml:space="preserve"> </w:t>
      </w:r>
      <w:r>
        <w:rPr>
          <w:rStyle w:val="VerbatimChar"/>
        </w:rPr>
        <w:t xml:space="preserve">can_view_update</w:t>
      </w:r>
      <w:r>
        <w:t xml:space="preserve"> </w:t>
      </w:r>
      <w:r>
        <w:t xml:space="preserve">visibility helper mirrors the three portal surfacing paths; (3) frontend: duplicate React keys on the update-engagement table (keyed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numeric-input guards on the capital-call / distribution / add-investment buttons, and</w:t>
      </w:r>
      <w:r>
        <w:t xml:space="preserve"> </w:t>
      </w:r>
      <w:r>
        <w:rPr>
          <w:rStyle w:val="VerbatimChar"/>
        </w:rPr>
        <w:t xml:space="preserve">window.alert</w:t>
      </w:r>
      <w:r>
        <w:t xml:space="preserve"> </w:t>
      </w:r>
      <w:r>
        <w:t xml:space="preserve">→ toast on report generation. 2 tests added (</w:t>
      </w:r>
      <w:r>
        <w:rPr>
          <w:rStyle w:val="VerbatimChar"/>
        </w:rPr>
        <w:t xml:space="preserve">test_rundit_functional.py</w:t>
      </w:r>
      <w:r>
        <w:t xml:space="preserve">). No schema change.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Rundit functional batch (fund + startup side)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follow-on investment rounds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InvestmentRound</w:t>
      </w:r>
      <w:r>
        <w:t xml:space="preserve"> </w:t>
      </w:r>
      <w:r>
        <w:t xml:space="preserve">— per-round history (label, instrument, amount, date, note) under each portfolio company; the parent investment's amount stays the running total cost so SOI / NAV / financials are untouched (</w:t>
      </w:r>
      <w:r>
        <w:rPr>
          <w:rStyle w:val="VerbatimChar"/>
        </w:rPr>
        <w:t xml:space="preserve">GET/POST /funds/{id}/portfolio/{iid}/rounds</w:t>
      </w:r>
      <w:r>
        <w:t xml:space="preserve">; "Investment history" + add-follow-on in the tear-sheet panel); (2)</w:t>
      </w:r>
      <w:r>
        <w:t xml:space="preserve"> </w:t>
      </w:r>
      <w:r>
        <w:rPr>
          <w:b/>
          <w:bCs/>
        </w:rPr>
        <w:t xml:space="preserve">fund expense ledger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FundExpense</w:t>
      </w:r>
      <w:r>
        <w:t xml:space="preserve"> </w:t>
      </w:r>
      <w:r>
        <w:t xml:space="preserve">(date, category legal/audit/administration/diligence/other, amount, note) — actual expenses now reduce net-operations and derived cash in the FR-J-14 financial statements, which still tie out ("Expense ledger" section under Financial statements); (3)</w:t>
      </w:r>
      <w:r>
        <w:t xml:space="preserve"> </w:t>
      </w:r>
      <w:r>
        <w:rPr>
          <w:b/>
          <w:bCs/>
        </w:rPr>
        <w:t xml:space="preserve">team notes on portfolio companies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CompanyNote</w:t>
      </w:r>
      <w:r>
        <w:t xml:space="preserve"> </w:t>
      </w:r>
      <w:r>
        <w:t xml:space="preserve">— internal comments with author attribution, never shown to LPs or the company ("Team notes" in the tear-sheet panel); (4)</w:t>
      </w:r>
      <w:r>
        <w:t xml:space="preserve"> </w:t>
      </w:r>
      <w:r>
        <w:rPr>
          <w:b/>
          <w:bCs/>
        </w:rPr>
        <w:t xml:space="preserve">CSV exports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/funds/{id}/export/holdings|capital-accounts|kpis</w:t>
      </w:r>
      <w:r>
        <w:t xml:space="preserve"> </w:t>
      </w:r>
      <w:r>
        <w:t xml:space="preserve">(Content-Disposition downloads; Export buttons on SOI, Capital accounts and Monitoring); (5)</w:t>
      </w:r>
      <w:r>
        <w:t xml:space="preserve"> </w:t>
      </w:r>
      <w:r>
        <w:rPr>
          <w:b/>
          <w:bCs/>
        </w:rPr>
        <w:t xml:space="preserve">investor-update audiences (FR-K-2 extended)</w:t>
      </w:r>
      <w:r>
        <w:t xml:space="preserve">:</w:t>
      </w:r>
      <w:r>
        <w:t xml:space="preserve"> </w:t>
      </w:r>
      <w:r>
        <w:rPr>
          <w:rStyle w:val="VerbatimChar"/>
        </w:rPr>
        <w:t xml:space="preserve">investor_updates.audience</w:t>
      </w:r>
      <w:r>
        <w:t xml:space="preserve"> </w:t>
      </w:r>
      <w:r>
        <w:t xml:space="preserve">optional email list — restricted updates are invisible to (and unviewable by) investors outside the list; audience multi-select in the composer, "→ N investors" chip, engagement recipients honour the audience. Alembic</w:t>
      </w:r>
      <w:r>
        <w:t xml:space="preserve"> </w:t>
      </w:r>
      <w:r>
        <w:rPr>
          <w:rStyle w:val="VerbatimChar"/>
        </w:rPr>
        <w:t xml:space="preserve">d6e7f8a9b0c1</w:t>
      </w:r>
      <w:r>
        <w:t xml:space="preserve">. 5 tests (</w:t>
      </w:r>
      <w:r>
        <w:rPr>
          <w:rStyle w:val="VerbatimChar"/>
        </w:rPr>
        <w:t xml:space="preserve">test_rundit_functional.py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Rundit visual batch (fund + startup side)</w:t>
      </w:r>
      <w:r>
        <w:t xml:space="preserve"> </w:t>
      </w:r>
      <w:r>
        <w:t xml:space="preserve">✅ — from a visual analysis of rundit.com product screenshots: (1)</w:t>
      </w:r>
      <w:r>
        <w:t xml:space="preserve"> </w:t>
      </w:r>
      <w:r>
        <w:rPr>
          <w:b/>
          <w:bCs/>
        </w:rPr>
        <w:t xml:space="preserve">web-native LP report view</w:t>
      </w:r>
      <w:r>
        <w:t xml:space="preserve"> </w:t>
      </w:r>
      <w:r>
        <w:t xml:space="preserve">(extends FR-J-22/FR-J-18) — the quarterly report as a magazine-style page (serif hero figures with growth arrows, activity list, per-company blocks with ownership / invested / fair value / MOIC / holding years and a</w:t>
      </w:r>
      <w:r>
        <w:t xml:space="preserve"> </w:t>
      </w:r>
      <w:r>
        <w:rPr>
          <w:b/>
          <w:bCs/>
        </w:rPr>
        <w:t xml:space="preserve">FV-growth pill</w:t>
      </w:r>
      <w:r>
        <w:t xml:space="preserve">, valuation status) via new</w:t>
      </w:r>
      <w:r>
        <w:t xml:space="preserve"> </w:t>
      </w:r>
      <w:r>
        <w:rPr>
          <w:rStyle w:val="VerbatimChar"/>
        </w:rPr>
        <w:t xml:space="preserve">lp_report_data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 /funds/{id}/lp-report/preview</w:t>
      </w:r>
      <w:r>
        <w:t xml:space="preserve"> </w:t>
      </w:r>
      <w:r>
        <w:t xml:space="preserve">(GP, defaults to the last completed quarter) and LP-scoped</w:t>
      </w:r>
      <w:r>
        <w:t xml:space="preserve"> </w:t>
      </w:r>
      <w:r>
        <w:rPr>
          <w:rStyle w:val="VerbatimChar"/>
        </w:rPr>
        <w:t xml:space="preserve">GET /portal/funds/{id}/lp-report</w:t>
      </w:r>
      <w:r>
        <w:t xml:space="preserve">; "Report view" toggle beside the report generator and a "Quarterly report" button on every portal fund card (shared</w:t>
      </w:r>
      <w:r>
        <w:t xml:space="preserve"> </w:t>
      </w:r>
      <w:r>
        <w:rPr>
          <w:rStyle w:val="VerbatimChar"/>
        </w:rPr>
        <w:t xml:space="preserve">LpReportView</w:t>
      </w:r>
      <w:r>
        <w:t xml:space="preserve"> </w:t>
      </w:r>
      <w:r>
        <w:t xml:space="preserve">component; the document export stays); (2)</w:t>
      </w:r>
      <w:r>
        <w:t xml:space="preserve"> </w:t>
      </w:r>
      <w:r>
        <w:rPr>
          <w:b/>
          <w:bCs/>
        </w:rPr>
        <w:t xml:space="preserve">pinned summary rows</w:t>
      </w:r>
      <w:r>
        <w:t xml:space="preserve"> </w:t>
      </w:r>
      <w:r>
        <w:t xml:space="preserve">— TOTAL / AVERAGE / MEDIAN rows atop the benchmark matrix (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avg</w:t>
      </w:r>
      <w:r>
        <w:t xml:space="preserve">); (3)</w:t>
      </w:r>
      <w:r>
        <w:t xml:space="preserve"> </w:t>
      </w:r>
      <w:r>
        <w:rPr>
          <w:b/>
          <w:bCs/>
        </w:rPr>
        <w:t xml:space="preserve">reporting-status roster</w:t>
      </w:r>
      <w:r>
        <w:t xml:space="preserve"> </w:t>
      </w:r>
      <w:r>
        <w:t xml:space="preserve">— per-company chips in Monitoring (✓ latest period / requested / submitted / overdue / never reported); (4)</w:t>
      </w:r>
      <w:r>
        <w:t xml:space="preserve"> </w:t>
      </w:r>
      <w:r>
        <w:rPr>
          <w:b/>
          <w:bCs/>
        </w:rPr>
        <w:t xml:space="preserve">update engagement roll-up</w:t>
      </w:r>
      <w:r>
        <w:t xml:space="preserve"> </w:t>
      </w:r>
      <w:r>
        <w:t xml:space="preserve">— an ALL-UPDATES + per-update table (recipients × opened × opening rate) over the FR-K-2 view tracking. 1 test (preview + portal scoping in</w:t>
      </w:r>
      <w:r>
        <w:t xml:space="preserve"> 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visual batch (fund + startup side)</w:t>
      </w:r>
      <w:r>
        <w:t xml:space="preserve"> </w:t>
      </w:r>
      <w:r>
        <w:t xml:space="preserve">✅ — from a visual analysis of visible.vc product screenshots: (1)</w:t>
      </w:r>
      <w:r>
        <w:t xml:space="preserve"> </w:t>
      </w:r>
      <w:r>
        <w:rPr>
          <w:b/>
          <w:bCs/>
        </w:rPr>
        <w:t xml:space="preserve">dual delta pills on stat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deltas</w:t>
      </w:r>
      <w:r>
        <w:t xml:space="preserve">) — fund header NAV/TVPI/DPI/RVPI show ▲/▼ vs-last-quarter / vs-last-year from the performance series (since-inception fallback for young funds), and monitoring's revenue total shows vs-prior-period; (2)</w:t>
      </w:r>
      <w:r>
        <w:t xml:space="preserve"> </w:t>
      </w:r>
      <w:r>
        <w:rPr>
          <w:b/>
          <w:bCs/>
        </w:rPr>
        <w:t xml:space="preserve">benchmark quartiles</w:t>
      </w:r>
      <w:r>
        <w:t xml:space="preserve"> </w:t>
      </w:r>
      <w:r>
        <w:t xml:space="preserve">(clears FR-J-24</w:t>
      </w:r>
      <w:r>
        <w:t xml:space="preserve"> </w:t>
      </w:r>
      <w:r>
        <w:rPr>
          <w:i/>
          <w:iCs/>
        </w:rPr>
        <w:t xml:space="preserve">Remaining: quartiles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per-metric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(min/Q1/median/Q3/max/total/reporters,</w:t>
      </w:r>
      <w:r>
        <w:t xml:space="preserve"> </w:t>
      </w:r>
      <w:r>
        <w:rPr>
          <w:rStyle w:val="VerbatimChar"/>
        </w:rPr>
        <w:t xml:space="preserve">statistics.quantiles</w:t>
      </w:r>
      <w:r>
        <w:t xml:space="preserve"> </w:t>
      </w:r>
      <w:r>
        <w:t xml:space="preserve">inclusive), rendered as dotted Q1/Q3 ticks on the range strips + a Distribution table; (3)</w:t>
      </w:r>
      <w:r>
        <w:t xml:space="preserve"> </w:t>
      </w:r>
      <w:r>
        <w:rPr>
          <w:b/>
          <w:bCs/>
        </w:rPr>
        <w:t xml:space="preserve">on-screen tear sheet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TearSheet.tsx</w:t>
      </w:r>
      <w:r>
        <w:t xml:space="preserve"> </w:t>
      </w:r>
      <w:r>
        <w:t xml:space="preserve">panel per portfolio row (Avatar header band, invested/FV/MOIC/ownership/%-of-NAV/runway tiles, revenue &amp; growth combo chart, latest-period line incl. custom metrics, active signals; document generator kept); (4) new</w:t>
      </w:r>
      <w:r>
        <w:t xml:space="preserve"> </w:t>
      </w:r>
      <w:r>
        <w:rPr>
          <w:rStyle w:val="VerbatimChar"/>
          <w:b/>
          <w:bCs/>
        </w:rPr>
        <w:t xml:space="preserve">ComboChart</w:t>
      </w:r>
      <w:r>
        <w:t xml:space="preserve"> </w:t>
      </w:r>
      <w:r>
        <w:t xml:space="preserve">component (bars + right-axis % line, dependency-free SVG); (5)</w:t>
      </w:r>
      <w:r>
        <w:t xml:space="preserve"> </w:t>
      </w:r>
      <w:r>
        <w:rPr>
          <w:b/>
          <w:bCs/>
        </w:rPr>
        <w:t xml:space="preserve">stage summary rails + stage-tinted dots</w:t>
      </w:r>
      <w:r>
        <w:t xml:space="preserve"> </w:t>
      </w:r>
      <w:r>
        <w:t xml:space="preserve">on the LP-fundraise pipeline (per-stage target + count chips) and the startup investor funnel (per-stage value + count from the pipeline summary); (6)</w:t>
      </w:r>
      <w:r>
        <w:t xml:space="preserve"> </w:t>
      </w:r>
      <w:r>
        <w:rPr>
          <w:b/>
          <w:bCs/>
        </w:rPr>
        <w:t xml:space="preserve">update live preview</w:t>
      </w:r>
      <w:r>
        <w:t xml:space="preserve"> </w:t>
      </w:r>
      <w:r>
        <w:t xml:space="preserve">— the FR-K-2 composer renders the update as investors will see it (sections + metric chips, "frozen at publish" note). Backend change is (2) only.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FR-J-25 (M — added v1.7, Visible gap) — Visible #5 — DDQ answer bank (fund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DDQEntry</w:t>
      </w:r>
      <w:r>
        <w:t xml:space="preserve"> </w:t>
      </w:r>
      <w:r>
        <w:t xml:space="preserve">{fund, category, question (409 duplicate per fund), answer} (Alembic</w:t>
      </w:r>
      <w:r>
        <w:t xml:space="preserve"> </w:t>
      </w:r>
      <w:r>
        <w:rPr>
          <w:rStyle w:val="VerbatimChar"/>
        </w:rPr>
        <w:t xml:space="preserve">c5d6e7f8a9b0</w:t>
      </w:r>
      <w:r>
        <w:t xml:space="preserve">): a per-fund due-diligence Q&amp;A repository — answer LP questionnaire questions once, reuse everywhere — with</w:t>
      </w:r>
      <w:r>
        <w:t xml:space="preserve"> </w:t>
      </w:r>
      <w:r>
        <w:rPr>
          <w:b/>
          <w:bCs/>
        </w:rPr>
        <w:t xml:space="preserve">10 standard-question presets</w:t>
      </w:r>
      <w:r>
        <w:t xml:space="preserve"> </w:t>
      </w:r>
      <w:r>
        <w:t xml:space="preserve">(rules-as-data: firm, fund terms, track record, SEBI compliance, valuation policy, conflicts, service providers, ESG) and a generated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ddq</w:t>
      </w:r>
      <w:r>
        <w:t xml:space="preserve"> </w:t>
      </w:r>
      <w:r>
        <w:t xml:space="preserve">template, category sections, unanswered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FundDDQ.tsx</w:t>
      </w:r>
      <w:r>
        <w:t xml:space="preserve"> </w:t>
      </w:r>
      <w:r>
        <w:t xml:space="preserve">card on the LP-fundraise sub-tab (grouped Q&amp;A, answered counter, inline answer editor, preset buttons). 3 tests (</w:t>
      </w:r>
      <w:r>
        <w:rPr>
          <w:rStyle w:val="VerbatimChar"/>
        </w:rPr>
        <w:t xml:space="preserve">test_ddq.py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import an LP's DDQ and map questions to bank answers.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#4 — portfolio segments + variance report (FR-J-24 / FR-J-12 extended, fund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portfolio_investments.sector</w:t>
      </w:r>
      <w:r>
        <w:t xml:space="preserve"> </w:t>
      </w:r>
      <w:r>
        <w:t xml:space="preserve">free-text segment tag (Alembic</w:t>
      </w:r>
      <w:r>
        <w:t xml:space="preserve"> </w:t>
      </w:r>
      <w:r>
        <w:rPr>
          <w:rStyle w:val="VerbatimChar"/>
        </w:rPr>
        <w:t xml:space="preserve">b4c5d6e7f8a9</w:t>
      </w:r>
      <w:r>
        <w:t xml:space="preserve">; add-investment form input, chips on the monitoring table):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per-sector</w:t>
      </w:r>
      <w:r>
        <w:t xml:space="preserve"> </w:t>
      </w:r>
      <w:r>
        <w:rPr>
          <w:b/>
          <w:bCs/>
        </w:rPr>
        <w:t xml:space="preserve">cohort medians</w:t>
      </w:r>
      <w:r>
        <w:t xml:space="preserve"> </w:t>
      </w:r>
      <w:r>
        <w:t xml:space="preserve">(company count + median per metric, hidden with a single cohort) rendered as a segment-comparison table; and</w:t>
      </w:r>
      <w:r>
        <w:t xml:space="preserve"> </w:t>
      </w:r>
      <w:r>
        <w:rPr>
          <w:rStyle w:val="VerbatimChar"/>
        </w:rPr>
        <w:t xml:space="preserve">compute_plan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block — plan vs live ledgers per metric (committed, deployed-to-date vs even pacing since first investment, avg cheque, deal count, gross MOIC at fair-value-over-cost, net TVPI) with signed variance %, rendered as a table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 3 tests (</w:t>
      </w:r>
      <w:r>
        <w:rPr>
          <w:rStyle w:val="VerbatimChar"/>
        </w:rPr>
        <w:t xml:space="preserve">test_segments_variance.py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6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7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8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8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8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8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8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8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8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2026-07-21T16:43:24Z</dcterms:created>
  <dcterms:modified xsi:type="dcterms:W3CDTF">2026-07-21T16:43:24Z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