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High-Level Design (HLD)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paper--high-level-design-hld"/>
    <w:p>
      <w:pPr>
        <w:pStyle w:val="Heading1"/>
      </w:pPr>
      <w:r>
        <w:t xml:space="preserve">Paper — High-Level Design (HLD)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 Draft v0.1 · Date: 2026-06-25 · Companion to:</w:t>
      </w:r>
      <w:r>
        <w:t xml:space="preserve"> </w:t>
      </w:r>
      <w:r>
        <w:rPr>
          <w:rStyle w:val="VerbatimChar"/>
        </w:rPr>
        <w:t xml:space="preserve">REQUIREMENTS.md</w:t>
      </w:r>
    </w:p>
    <w:p>
      <w:r>
        <w:pict>
          <v:rect style="width:0;height:1.5pt" o:hralign="center" o:hrstd="t" o:hr="t"/>
        </w:pict>
      </w:r>
    </w:p>
    <w:bookmarkStart w:id="17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High-Level Design describes the architecture of</w:t>
      </w:r>
      <w:r>
        <w:t xml:space="preserve"> </w:t>
      </w:r>
      <w:r>
        <w:rPr>
          <w:b/>
          <w:bCs/>
        </w:rPr>
        <w:t xml:space="preserve">Paper</w:t>
      </w:r>
      <w:r>
        <w:t xml:space="preserve"> </w:t>
      </w:r>
      <w:r>
        <w:t xml:space="preserve">— the system whose capabilities are specified in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. It defines the logical decomposition, technology stack, data and integration architecture, the workflow engine, key runtime flows, security, and deployment. It is the bridge between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product must do (requirements)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engineering builds it (low-level design / implementation).</w:t>
      </w:r>
    </w:p>
    <w:bookmarkEnd w:id="9"/>
    <w:bookmarkStart w:id="10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Covers the platform that serves both customer types —</w:t>
      </w:r>
      <w:r>
        <w:t xml:space="preserve"> </w:t>
      </w:r>
      <w:r>
        <w:rPr>
          <w:b/>
          <w:bCs/>
        </w:rPr>
        <w:t xml:space="preserve">startups/operating companies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funds (SEBI AIFs)</w:t>
      </w:r>
      <w:r>
        <w:t xml:space="preserve"> </w:t>
      </w:r>
      <w:r>
        <w:t xml:space="preserve">— across the 20 functional modules (A–T) and the non-functional requirements. Low-level schema DDL, API contracts per endpoint, and UI wireframes are out of scope (deferred to LLD/API spec/design files).</w:t>
      </w:r>
    </w:p>
    <w:bookmarkEnd w:id="10"/>
    <w:bookmarkStart w:id="11" w:name="X8a4810ba87ed665bf98c91e43a2a6e2c9aec130"/>
    <w:p>
      <w:pPr>
        <w:pStyle w:val="Heading3"/>
      </w:pPr>
      <w:r>
        <w:t xml:space="preserve">1.3 Audience</w:t>
      </w:r>
    </w:p>
    <w:p>
      <w:pPr>
        <w:pStyle w:val="FirstParagraph"/>
      </w:pPr>
      <w:r>
        <w:t xml:space="preserve">Engineering leads, architects, security/compliance reviewers, and the product team.</w:t>
      </w:r>
    </w:p>
    <w:bookmarkEnd w:id="11"/>
    <w:bookmarkStart w:id="14" w:name="Xf8afe345782cbed00f3c2830abd05d0a5ea4b9a"/>
    <w:p>
      <w:pPr>
        <w:pStyle w:val="Heading3"/>
      </w:pPr>
      <w:r>
        <w:t xml:space="preserve">1.4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REQUIREMENTS.md</w:t>
      </w:r>
      <w:r>
        <w:t xml:space="preserve"> </w:t>
      </w:r>
      <w:r>
        <w:t xml:space="preserve">— functional (FR-A..T) and non-functional (NFR-1..11) requirements, conceptual data model (§6).</w:t>
      </w:r>
    </w:p>
    <w:p>
      <w:pPr>
        <w:pStyle w:val="Compact"/>
        <w:numPr>
          <w:ilvl w:val="0"/>
          <w:numId w:val="1001"/>
        </w:numPr>
      </w:pPr>
      <w:r>
        <w:t xml:space="preserve">PaperOS capability grounding:</w:t>
      </w:r>
      <w:r>
        <w:t xml:space="preserve"> </w:t>
      </w:r>
      <w:hyperlink r:id="rId12">
        <w:r>
          <w:rPr>
            <w:rStyle w:val="Hyperlink"/>
          </w:rPr>
          <w:t xml:space="preserve">paperos.com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learn.paperos.com</w:t>
        </w:r>
      </w:hyperlink>
      <w:r>
        <w:t xml:space="preserve">.</w:t>
      </w:r>
    </w:p>
    <w:bookmarkEnd w:id="14"/>
    <w:bookmarkStart w:id="15" w:name="X21b3c50786aca22fba3df3a02a160c6702033f3"/>
    <w:p>
      <w:pPr>
        <w:pStyle w:val="Heading3"/>
      </w:pPr>
      <w:r>
        <w:t xml:space="preserve">1.5 Definitions</w:t>
      </w:r>
    </w:p>
    <w:p>
      <w:pPr>
        <w:pStyle w:val="FirstParagraph"/>
      </w:pPr>
      <w:r>
        <w:t xml:space="preserve">AIF (Alternative Investment Fund), CCPS/CCD (compulsorily convertible preference shares / debentures), FC-GPR/FC-TRS (RBI foreign-investment filings), DSC (Digital Signature Certificate), RTA (Registrar &amp; Transfer Agent), DPDP (Digital Personal Data Protection Act 2023), RBAC (role-based access control), SoT (source of truth).</w:t>
      </w:r>
    </w:p>
    <w:bookmarkEnd w:id="15"/>
    <w:bookmarkStart w:id="16" w:name="X9697107ae437e10e15578b4816db224633d0c8c"/>
    <w:p>
      <w:pPr>
        <w:pStyle w:val="Heading3"/>
      </w:pPr>
      <w:r>
        <w:t xml:space="preserve">1.6 Stated assumptions (design inputs)</w:t>
      </w:r>
    </w:p>
    <w:p>
      <w:pPr>
        <w:pStyle w:val="BlockText"/>
      </w:pPr>
      <w:r>
        <w:t xml:space="preserve">These shape the design; flag if any is wrong.</w:t>
      </w:r>
    </w:p>
    <w:p>
      <w:pPr>
        <w:pStyle w:val="Compact"/>
        <w:numPr>
          <w:ilvl w:val="0"/>
          <w:numId w:val="1002"/>
        </w:numPr>
      </w:pPr>
      <w:r>
        <w:t xml:space="preserve">Cloud is</w:t>
      </w:r>
      <w:r>
        <w:t xml:space="preserve"> </w:t>
      </w:r>
      <w:r>
        <w:rPr>
          <w:b/>
          <w:bCs/>
        </w:rPr>
        <w:t xml:space="preserve">GCP</w:t>
      </w:r>
      <w:r>
        <w:t xml:space="preserve"> </w:t>
      </w:r>
      <w:r>
        <w:t xml:space="preserve">with deploys to</w:t>
      </w:r>
      <w:r>
        <w:t xml:space="preserve"> </w:t>
      </w:r>
      <w:r>
        <w:rPr>
          <w:b/>
          <w:bCs/>
        </w:rPr>
        <w:t xml:space="preserve">Cloud Run</w:t>
      </w:r>
      <w:r>
        <w:t xml:space="preserve"> </w:t>
      </w:r>
      <w:r>
        <w:t xml:space="preserve">via GitHub Actions + Workload Identity Federation — consistent with the org's other platforms.</w:t>
      </w:r>
    </w:p>
    <w:p>
      <w:pPr>
        <w:pStyle w:val="Compact"/>
        <w:numPr>
          <w:ilvl w:val="0"/>
          <w:numId w:val="1002"/>
        </w:numPr>
      </w:pPr>
      <w:r>
        <w:t xml:space="preserve">Primary stack is</w:t>
      </w:r>
      <w:r>
        <w:t xml:space="preserve"> </w:t>
      </w:r>
      <w:r>
        <w:rPr>
          <w:b/>
          <w:bCs/>
        </w:rPr>
        <w:t xml:space="preserve">Python/FastAPI</w:t>
      </w:r>
      <w:r>
        <w:t xml:space="preserve"> </w:t>
      </w:r>
      <w:r>
        <w:t xml:space="preserve">services +</w:t>
      </w:r>
      <w:r>
        <w:t xml:space="preserve"> </w:t>
      </w:r>
      <w:r>
        <w:rPr>
          <w:b/>
          <w:bCs/>
        </w:rPr>
        <w:t xml:space="preserve">React (Vite)</w:t>
      </w:r>
      <w:r>
        <w:t xml:space="preserve"> </w:t>
      </w:r>
      <w:r>
        <w:t xml:space="preserve">SPA +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matching the org's existing apps.</w:t>
      </w:r>
    </w:p>
    <w:p>
      <w:pPr>
        <w:pStyle w:val="Compact"/>
        <w:numPr>
          <w:ilvl w:val="0"/>
          <w:numId w:val="100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prepare and assist</w:t>
      </w:r>
      <w:r>
        <w:t xml:space="preserve"> </w:t>
      </w:r>
      <w:r>
        <w:t xml:space="preserve">statutory filings; licensed professionals (CS/CA/merchant banker) review and file where law requires. Paper is not itself a regulated intermediary, payment gateway, or RTA.</w:t>
      </w:r>
    </w:p>
    <w:p>
      <w:pPr>
        <w:pStyle w:val="Compact"/>
        <w:numPr>
          <w:ilvl w:val="0"/>
          <w:numId w:val="1002"/>
        </w:numPr>
      </w:pPr>
      <w:r>
        <w:t xml:space="preserve">India-first: data residency in India, INR base currency, English-first UI.</w:t>
      </w:r>
    </w:p>
    <w:p>
      <w:pPr>
        <w:pStyle w:val="Compact"/>
        <w:numPr>
          <w:ilvl w:val="0"/>
          <w:numId w:val="1002"/>
        </w:numPr>
      </w:pPr>
      <w:r>
        <w:t xml:space="preserve">Build-vs-buy favours</w:t>
      </w:r>
      <w:r>
        <w:t xml:space="preserve"> </w:t>
      </w:r>
      <w:r>
        <w:rPr>
          <w:b/>
          <w:bCs/>
        </w:rPr>
        <w:t xml:space="preserve">integrating</w:t>
      </w:r>
      <w:r>
        <w:t xml:space="preserve"> </w:t>
      </w:r>
      <w:r>
        <w:t xml:space="preserve">specialist providers for e-sign, KYC, payments, valuation and demat rather than building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ee8e22863593e7bf85fcddfc66f1a286d998ba8"/>
    <w:p>
      <w:pPr>
        <w:pStyle w:val="Heading2"/>
      </w:pPr>
      <w:r>
        <w:t xml:space="preserve">2. Architectural Goals &amp;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 (from NFR)</w:t>
            </w:r>
          </w:p>
        </w:tc>
        <w:tc>
          <w:tcPr/>
          <w:p>
            <w:pPr>
              <w:pStyle w:val="Compact"/>
            </w:pPr>
            <w:r>
              <w:t xml:space="preserve">Architectural implication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of truth, traceability (NFR-7)</w:t>
            </w:r>
          </w:p>
        </w:tc>
        <w:tc>
          <w:tcPr/>
          <w:p>
            <w:pPr>
              <w:pStyle w:val="Compact"/>
            </w:pPr>
            <w:r>
              <w:t xml:space="preserve">Append-only transaction ledgers; derived snapshots; every record links to a source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Auditability (NFR-4)</w:t>
            </w:r>
          </w:p>
        </w:tc>
        <w:tc>
          <w:tcPr/>
          <w:p>
            <w:pPr>
              <w:pStyle w:val="Compact"/>
            </w:pPr>
            <w:r>
              <w:t xml:space="preserve">Centralised immutable audit log; all mutations flow through the workflow/command 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tenant isolation (NFR-1, 11)</w:t>
            </w:r>
          </w:p>
        </w:tc>
        <w:tc>
          <w:tcPr/>
          <w:p>
            <w:pPr>
              <w:pStyle w:val="Compact"/>
            </w:pPr>
            <w:r>
              <w:t xml:space="preserve">Tenant-scoped data access enforced at the data layer; least-privilege RBAC; encryption at rest/in transit.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residency &amp; privacy (NFR-2, 3)</w:t>
            </w:r>
          </w:p>
        </w:tc>
        <w:tc>
          <w:tcPr/>
          <w:p>
            <w:pPr>
              <w:pStyle w:val="Compact"/>
            </w:pPr>
            <w:r>
              <w:t xml:space="preserve">India region pinning; DPDP consent/retention; PII segregation.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99.9% (NFR-5)</w:t>
            </w:r>
          </w:p>
        </w:tc>
        <w:tc>
          <w:tcPr/>
          <w:p>
            <w:pPr>
              <w:pStyle w:val="Compact"/>
            </w:pPr>
            <w:r>
              <w:t xml:space="preserve">Stateless services, managed Postgres with HA, multi-zone Cloud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Regulation changes often</w:t>
            </w:r>
          </w:p>
        </w:tc>
        <w:tc>
          <w:tcPr/>
          <w:p>
            <w:pPr>
              <w:pStyle w:val="Compact"/>
            </w:pPr>
            <w:r>
              <w:t xml:space="preserve">Rules (forms, deadlines, valuation methods) externalised as</w:t>
            </w:r>
            <w:r>
              <w:t xml:space="preserve"> </w:t>
            </w:r>
            <w:r>
              <w:rPr>
                <w:b/>
                <w:bCs/>
              </w:rPr>
              <w:t xml:space="preserve">data/config</w:t>
            </w:r>
            <w:r>
              <w:t xml:space="preserve">, not hard-coded.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personas, many modules</w:t>
            </w:r>
          </w:p>
        </w:tc>
        <w:tc>
          <w:tcPr/>
          <w:p>
            <w:pPr>
              <w:pStyle w:val="Compact"/>
            </w:pPr>
            <w:r>
              <w:t xml:space="preserve">Modular decomposition with a shared core; module enable/disable per tenant type.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statutory logic must be</w:t>
      </w:r>
      <w:r>
        <w:t xml:space="preserve"> </w:t>
      </w:r>
      <w:r>
        <w:rPr>
          <w:i/>
          <w:iCs/>
        </w:rPr>
        <w:t xml:space="preserve">versioned and config-driven</w:t>
      </w:r>
      <w:r>
        <w:t xml:space="preserve"> </w:t>
      </w:r>
      <w:r>
        <w:t xml:space="preserve">so that a change in the Companies Act, FEMA pricing, or SEBI AIF rules is a data update, not a code rewrite.</w:t>
      </w:r>
    </w:p>
    <w:p>
      <w:r>
        <w:pict>
          <v:rect style="width:0;height:1.5pt" o:hralign="center" o:hrstd="t" o:hr="t"/>
        </w:pict>
      </w:r>
    </w:p>
    <w:bookmarkEnd w:id="18"/>
    <w:bookmarkStart w:id="22" w:name="X43c0f9050e0a111ee33804b762f4b8fe9e21313"/>
    <w:p>
      <w:pPr>
        <w:pStyle w:val="Heading2"/>
      </w:pPr>
      <w:r>
        <w:t xml:space="preserve">3. Architecture Overview</w:t>
      </w:r>
    </w:p>
    <w:bookmarkStart w:id="19" w:name="X817f2230fb3f0ea68aa21b900e795afafb2843d"/>
    <w:p>
      <w:pPr>
        <w:pStyle w:val="Heading3"/>
      </w:pPr>
      <w:r>
        <w:t xml:space="preserve">3.1 Style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modular monolith with a service-oriented seam</w:t>
      </w:r>
      <w:r>
        <w:t xml:space="preserve"> </w:t>
      </w:r>
      <w:r>
        <w:t xml:space="preserve">— a single deployable backend organised into strongly-bounded modules (the A–T domains), fronted by an API gateway, with a small number of independently-scaled workers (async jobs, document rendering, e-sign callbacks). This avoids premature microservice sprawl while keeping clean module boundaries that can be peeled off into services later (e.g., the Fund Admin module, or Document rendering).</w:t>
      </w:r>
    </w:p>
    <w:p>
      <w:pPr>
        <w:pStyle w:val="BodyText"/>
      </w:pPr>
      <w:r>
        <w:t xml:space="preserve">Rationale: the domains share a dense relational core (the cap-table/party/document spine in §6 of requirements); a distributed model would force chatty cross-service joins early. Start modular-monolith; extract on proven scaling pressure.</w:t>
      </w:r>
    </w:p>
    <w:bookmarkEnd w:id="19"/>
    <w:bookmarkStart w:id="20" w:name="Xf3584fe931aee6a93ad19e56996d5ca488df701"/>
    <w:p>
      <w:pPr>
        <w:pStyle w:val="Heading3"/>
      </w:pPr>
      <w:r>
        <w:t xml:space="preserve">3.2 Logical view (C4 container level)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Browser (React SPA)   │            Web / Mobile clients             │</w:t>
      </w:r>
      <w:r>
        <w:br/>
      </w:r>
      <w:r>
        <w:rPr>
          <w:rStyle w:val="VerbatimChar"/>
        </w:rPr>
        <w:t xml:space="preserve">   Investor/LP portal    └───────────────────┬─────────────────────────┘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 HTTPS / JSON</w:t>
      </w:r>
      <w:r>
        <w:br/>
      </w:r>
      <w:r>
        <w:rPr>
          <w:rStyle w:val="VerbatimChar"/>
        </w:rPr>
        <w:t xml:space="preserve">                                  ┌───────────▼───────────┐</w:t>
      </w:r>
      <w:r>
        <w:br/>
      </w:r>
      <w:r>
        <w:rPr>
          <w:rStyle w:val="VerbatimChar"/>
        </w:rPr>
        <w:t xml:space="preserve">                                  │     API Gateway        │  authn, rate-limit,</w:t>
      </w:r>
      <w:r>
        <w:br/>
      </w:r>
      <w:r>
        <w:rPr>
          <w:rStyle w:val="VerbatimChar"/>
        </w:rPr>
        <w:t xml:space="preserve">                                  │   (FastAPI edge)       │  tenant resolution</w:t>
      </w:r>
      <w:r>
        <w:br/>
      </w:r>
      <w:r>
        <w:rPr>
          <w:rStyle w:val="VerbatimChar"/>
        </w:rPr>
        <w:t xml:space="preserve">                         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┌─────────────────────────────────────┼─────────────────────────────────────┐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PAPER BACKEND (modular monolith)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                      │</w:t>
      </w:r>
      <w:r>
        <w:br/>
      </w:r>
      <w:r>
        <w:rPr>
          <w:rStyle w:val="VerbatimChar"/>
        </w:rPr>
        <w:t xml:space="preserve">        │  Domain modules (A–T):                                                      │</w:t>
      </w:r>
      <w:r>
        <w:br/>
      </w:r>
      <w:r>
        <w:rPr>
          <w:rStyle w:val="VerbatimChar"/>
        </w:rPr>
        <w:t xml:space="preserve">        │  Identity/RBAC · Entity · CapTable · ESOP · Fundraising · Governance ·      │</w:t>
      </w:r>
      <w:r>
        <w:br/>
      </w:r>
      <w:r>
        <w:rPr>
          <w:rStyle w:val="VerbatimChar"/>
        </w:rPr>
        <w:t xml:space="preserve">        │  Compliance · DataRoom · FundAdmin(AIF) · Valuation · CLM · Team · SPV      │</w:t>
      </w:r>
      <w:r>
        <w:br/>
      </w:r>
      <w:r>
        <w:rPr>
          <w:rStyle w:val="VerbatimChar"/>
        </w:rPr>
        <w:t xml:space="preserve">        │                                                                             │</w:t>
      </w:r>
      <w:r>
        <w:br/>
      </w:r>
      <w:r>
        <w:rPr>
          <w:rStyle w:val="VerbatimChar"/>
        </w:rPr>
        <w:t xml:space="preserve">        │  Cross-cutting platform services:                                           │</w:t>
      </w:r>
      <w:r>
        <w:br/>
      </w:r>
      <w:r>
        <w:rPr>
          <w:rStyle w:val="VerbatimChar"/>
        </w:rPr>
        <w:t xml:space="preserve">        │  ┌──────────────┐ ┌──────────────┐ ┌──────────────┐ ┌──────────────┐       │</w:t>
      </w:r>
      <w:r>
        <w:br/>
      </w:r>
      <w:r>
        <w:rPr>
          <w:rStyle w:val="VerbatimChar"/>
        </w:rPr>
        <w:t xml:space="preserve">        │  │ Workflow     │ │ Document &amp;    │ │ Notification │ │ Audit &amp;      │       │</w:t>
      </w:r>
      <w:r>
        <w:br/>
      </w:r>
      <w:r>
        <w:rPr>
          <w:rStyle w:val="VerbatimChar"/>
        </w:rPr>
        <w:t xml:space="preserve">        │  │ Engine (N)   │ │ Template svc  │ │ service      │ │ Activity log │       │</w:t>
      </w:r>
      <w:r>
        <w:br/>
      </w:r>
      <w:r>
        <w:rPr>
          <w:rStyle w:val="VerbatimChar"/>
        </w:rPr>
        <w:t xml:space="preserve">        │  └──────────────┘ └──────────────┘ └──────────────┘ └──────────────┘       │</w:t>
      </w:r>
      <w:r>
        <w:br/>
      </w:r>
      <w:r>
        <w:rPr>
          <w:rStyle w:val="VerbatimChar"/>
        </w:rPr>
        <w:t xml:space="preserve">        └───────┬───────────────────┬───────────────────┬───────────────┬────────────┘</w:t>
      </w:r>
      <w:r>
        <w:br/>
      </w:r>
      <w:r>
        <w:rPr>
          <w:rStyle w:val="VerbatimChar"/>
        </w:rPr>
        <w:t xml:space="preserve">                │                   │                   │               │</w:t>
      </w:r>
      <w:r>
        <w:br/>
      </w:r>
      <w:r>
        <w:rPr>
          <w:rStyle w:val="VerbatimChar"/>
        </w:rPr>
        <w:t xml:space="preserve">        ┌───────▼──────┐   ┌────────▼───────┐   ┌────────▼──────┐  ┌─────▼─────────┐</w:t>
      </w:r>
      <w:r>
        <w:br/>
      </w:r>
      <w:r>
        <w:rPr>
          <w:rStyle w:val="VerbatimChar"/>
        </w:rPr>
        <w:t xml:space="preserve">        │ PostgreSQL   │   │ Object storage │   │ Job queue +   │  │ Cache         │</w:t>
      </w:r>
      <w:r>
        <w:br/>
      </w:r>
      <w:r>
        <w:rPr>
          <w:rStyle w:val="VerbatimChar"/>
        </w:rPr>
        <w:t xml:space="preserve">        │ (primary +   │   │ (documents,    │   │ workers       │  │ (Redis)       │</w:t>
      </w:r>
      <w:r>
        <w:br/>
      </w:r>
      <w:r>
        <w:rPr>
          <w:rStyle w:val="VerbatimChar"/>
        </w:rPr>
        <w:t xml:space="preserve">        │  read replica)│   │  data room)    │   │ (Cloud Tasks) │  └───────────────┘</w:t>
      </w:r>
      <w:r>
        <w:br/>
      </w:r>
      <w:r>
        <w:rPr>
          <w:rStyle w:val="VerbatimChar"/>
        </w:rPr>
        <w:t xml:space="preserve">        └──────────────┘   └────────────────┘   └───────────────┘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┌───────────▼───────────────────────────┐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External Integration Adapters         │</w:t>
      </w:r>
      <w:r>
        <w:br/>
      </w:r>
      <w:r>
        <w:rPr>
          <w:rStyle w:val="VerbatimChar"/>
        </w:rPr>
        <w:t xml:space="preserve">                                  │  e-Sign · KYC/DigiLocker · MCA21 ·      │</w:t>
      </w:r>
      <w:r>
        <w:br/>
      </w:r>
      <w:r>
        <w:rPr>
          <w:rStyle w:val="VerbatimChar"/>
        </w:rPr>
        <w:t xml:space="preserve">                                  │  RBI FIRMS · Payments/escrow ·          │</w:t>
      </w:r>
      <w:r>
        <w:br/>
      </w:r>
      <w:r>
        <w:rPr>
          <w:rStyle w:val="VerbatimChar"/>
        </w:rPr>
        <w:t xml:space="preserve">                                  │  Accounting · Valuer · NSDL/CDSL        │</w:t>
      </w:r>
      <w:r>
        <w:br/>
      </w:r>
      <w:r>
        <w:rPr>
          <w:rStyle w:val="VerbatimChar"/>
        </w:rPr>
        <w:t xml:space="preserve">                                  └─────────────────────────────────────────┘</w:t>
      </w:r>
    </w:p>
    <w:bookmarkEnd w:id="20"/>
    <w:bookmarkStart w:id="21" w:name="Xc9a55fe2ef411405207a7d2b6d235a04b17bfcb"/>
    <w:p>
      <w:pPr>
        <w:pStyle w:val="Heading3"/>
      </w:pPr>
      <w:r>
        <w:t xml:space="preserve">3.3 Architectural layers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— React SPA (founder/CFO/CS app; fund GP/admin app; investor/LP portal as scoped views), server-driven workflow UI.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/ application</w:t>
      </w:r>
      <w:r>
        <w:t xml:space="preserve"> </w:t>
      </w:r>
      <w:r>
        <w:t xml:space="preserve">— FastAPI gateway + per-module routers; command/query handlers; workflow orchestration.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Domain</w:t>
      </w:r>
      <w:r>
        <w:t xml:space="preserve"> </w:t>
      </w:r>
      <w:r>
        <w:t xml:space="preserve">— module domain logic (cap-table math, waterfall, vesting, compliance-rule evaluation), persistence-agnostic.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PostgreSQL (transactional + ledger), object storage (documents), Redis (cache/locks), search index.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— adapter layer behind stable internal interfaces (anti-corruption layer per external provider).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2a17cacaee3332505db4dc3fa1754f1321cfdc7"/>
    <w:p>
      <w:pPr>
        <w:pStyle w:val="Heading2"/>
      </w:pPr>
      <w:r>
        <w:t xml:space="preserve">4. Module Decomposition</w:t>
      </w:r>
    </w:p>
    <w:p>
      <w:pPr>
        <w:pStyle w:val="FirstParagraph"/>
      </w:pPr>
      <w:r>
        <w:t xml:space="preserve">Each requirement module maps to a backend bounded context. Cross-cutting modules (N, M, T) are platform services every domain consumes.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</w:pPr>
            <w:r>
              <w:t xml:space="preserve">Core responsibilities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Tenants, users, memberships, RBAC, KYC profiles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Legal entities, corporate record, registers, registrations</w:t>
            </w:r>
          </w:p>
        </w:tc>
        <w:tc>
          <w:tcPr/>
          <w:p>
            <w:pPr>
              <w:pStyle w:val="Compact"/>
            </w:pPr>
            <w:r>
              <w:t xml:space="preserve">Identity,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</w:t>
            </w:r>
          </w:p>
        </w:tc>
        <w:tc>
          <w:tcPr/>
          <w:p>
            <w:pPr>
              <w:pStyle w:val="Compact"/>
            </w:pPr>
            <w:r>
              <w:t xml:space="preserve">Security classes, holdings, issuance ledger, snapshots, transfers, stamp duty</w:t>
            </w:r>
          </w:p>
        </w:tc>
        <w:tc>
          <w:tcPr/>
          <w:p>
            <w:pPr>
              <w:pStyle w:val="Compact"/>
            </w:pPr>
            <w:r>
              <w:t xml:space="preserve">Entity, Document,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Schemes, grants, vesting, exercise</w:t>
            </w:r>
          </w:p>
        </w:tc>
        <w:tc>
          <w:tcPr/>
          <w:p>
            <w:pPr>
              <w:pStyle w:val="Compact"/>
            </w:pPr>
            <w:r>
              <w:t xml:space="preserve">CapTable, 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Fundraising</w:t>
            </w:r>
          </w:p>
        </w:tc>
        <w:tc>
          <w:tcPr/>
          <w:p>
            <w:pPr>
              <w:pStyle w:val="Compact"/>
            </w:pPr>
            <w:r>
              <w:t xml:space="preserve">Rounds, term sheets, commitments, deal docs, closing</w:t>
            </w:r>
          </w:p>
        </w:tc>
        <w:tc>
          <w:tcPr/>
          <w:p>
            <w:pPr>
              <w:pStyle w:val="Compact"/>
            </w:pPr>
            <w:r>
              <w:t xml:space="preserve">CapTable, DataRoom,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Templates, generation/merge, versions, e-sign orchestration</w:t>
            </w:r>
          </w:p>
        </w:tc>
        <w:tc>
          <w:tcPr/>
          <w:p>
            <w:pPr>
              <w:pStyle w:val="Compact"/>
            </w:pPr>
            <w:r>
              <w:t xml:space="preserve">Workflow,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Meetings, resolutions, consents, indemnification</w:t>
            </w:r>
          </w:p>
        </w:tc>
        <w:tc>
          <w:tcPr/>
          <w:p>
            <w:pPr>
              <w:pStyle w:val="Compact"/>
            </w:pPr>
            <w:r>
              <w:t xml:space="preserve">Entity,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Obligation generation, filing tasks, FEMA/ROC prep, calendar</w:t>
            </w:r>
          </w:p>
        </w:tc>
        <w:tc>
          <w:tcPr/>
          <w:p>
            <w:pPr>
              <w:pStyle w:val="Compact"/>
            </w:pPr>
            <w:r>
              <w:t xml:space="preserve">Entity, Valuation,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</w:t>
            </w:r>
          </w:p>
        </w:tc>
        <w:tc>
          <w:tcPr/>
          <w:p>
            <w:pPr>
              <w:pStyle w:val="Compact"/>
            </w:pPr>
            <w:r>
              <w:t xml:space="preserve">Rooms, access grants, engagement analytics</w:t>
            </w:r>
          </w:p>
        </w:tc>
        <w:tc>
          <w:tcPr/>
          <w:p>
            <w:pPr>
              <w:pStyle w:val="Compact"/>
            </w:pPr>
            <w:r>
              <w:t xml:space="preserve">Document,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FundAdmin</w:t>
            </w:r>
          </w:p>
        </w:tc>
        <w:tc>
          <w:tcPr/>
          <w:p>
            <w:pPr>
              <w:pStyle w:val="Compact"/>
            </w:pPr>
            <w:r>
              <w:t xml:space="preserve">Funds, LPs, commitments, capital accounts, calls, distributions, portfolio</w:t>
            </w:r>
          </w:p>
        </w:tc>
        <w:tc>
          <w:tcPr/>
          <w:p>
            <w:pPr>
              <w:pStyle w:val="Compact"/>
            </w:pPr>
            <w:r>
              <w:t xml:space="preserve">Identity, Document,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Investor/LP dashboards, updates, statements</w:t>
            </w:r>
          </w:p>
        </w:tc>
        <w:tc>
          <w:tcPr/>
          <w:p>
            <w:pPr>
              <w:pStyle w:val="Compact"/>
            </w:pPr>
            <w:r>
              <w:t xml:space="preserve">CapTable, FundAdmin,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Valuation requests/reports, method/rule tracking</w:t>
            </w:r>
          </w:p>
        </w:tc>
        <w:tc>
          <w:tcPr/>
          <w:p>
            <w:pPr>
              <w:pStyle w:val="Compact"/>
            </w:pPr>
            <w:r>
              <w:t xml:space="preserve">Entity,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Adapters, webhooks, audit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Workflow definitions/runs/steps engine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Partner network, engagements</w:t>
            </w:r>
          </w:p>
        </w:tc>
        <w:tc>
          <w:tcPr/>
          <w:p>
            <w:pPr>
              <w:pStyle w:val="Compact"/>
            </w:pPr>
            <w:r>
              <w:t xml:space="preserve">Identity,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ManagedAdmin</w:t>
            </w:r>
          </w:p>
        </w:tc>
        <w:tc>
          <w:tcPr/>
          <w:p>
            <w:pPr>
              <w:pStyle w:val="Compact"/>
            </w:pPr>
            <w:r>
              <w:t xml:space="preserve">Subscriptions, touchpoints, audit engagements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CLM</w:t>
            </w:r>
          </w:p>
        </w:tc>
        <w:tc>
          <w:tcPr/>
          <w:p>
            <w:pPr>
              <w:pStyle w:val="Compact"/>
            </w:pPr>
            <w:r>
              <w:t xml:space="preserve">Counterparties, contracts, obligations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Team registry, HR-legal docs</w:t>
            </w:r>
          </w:p>
        </w:tc>
        <w:tc>
          <w:tcPr/>
          <w:p>
            <w:pPr>
              <w:pStyle w:val="Compact"/>
            </w:pPr>
            <w:r>
              <w:t xml:space="preserve">Identity, ESOP,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</w:t>
            </w:r>
          </w:p>
        </w:tc>
        <w:tc>
          <w:tcPr/>
          <w:p>
            <w:pPr>
              <w:pStyle w:val="Compact"/>
            </w:pPr>
            <w:r>
              <w:t xml:space="preserve">Single-deal vehicles (reuses FundAdmin primitives)</w:t>
            </w:r>
          </w:p>
        </w:tc>
        <w:tc>
          <w:tcPr/>
          <w:p>
            <w:pPr>
              <w:pStyle w:val="Compact"/>
            </w:pPr>
            <w:r>
              <w:t xml:space="preserve">FundAdmin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Workspace/Reporting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Workspaces, file cabinet, dashboards, tax records, reports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c47465cb8dca4bd5a4094d5007764f55b56fc02"/>
    <w:p>
      <w:pPr>
        <w:pStyle w:val="Heading2"/>
      </w:pPr>
      <w:r>
        <w:t xml:space="preserve">5. 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+ Vite + TypeScript; component lib (e.g., MUI); TanStack Query</w:t>
            </w:r>
          </w:p>
        </w:tc>
        <w:tc>
          <w:tcPr/>
          <w:p>
            <w:pPr>
              <w:pStyle w:val="Compact"/>
            </w:pPr>
            <w:r>
              <w:t xml:space="preserve">Org standard; SPA with role-scoped views.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(Python 3.12+), Pydantic v2, async</w:t>
            </w:r>
          </w:p>
        </w:tc>
        <w:tc>
          <w:tcPr/>
          <w:p>
            <w:pPr>
              <w:pStyle w:val="Compact"/>
            </w:pPr>
            <w:r>
              <w:t xml:space="preserve">Org standard; strong typing, OpenAPI out of the box.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logic</w:t>
            </w:r>
          </w:p>
        </w:tc>
        <w:tc>
          <w:tcPr/>
          <w:p>
            <w:pPr>
              <w:pStyle w:val="Compact"/>
            </w:pPr>
            <w:r>
              <w:t xml:space="preserve">Python services;</w:t>
            </w:r>
            <w:r>
              <w:t xml:space="preserve"> </w:t>
            </w:r>
            <w:r>
              <w:rPr>
                <w:rStyle w:val="VerbatimChar"/>
              </w:rPr>
              <w:t xml:space="preserve">decimal</w:t>
            </w:r>
            <w:r>
              <w:t xml:space="preserve">-based money/share math</w:t>
            </w:r>
          </w:p>
        </w:tc>
        <w:tc>
          <w:tcPr/>
          <w:p>
            <w:pPr>
              <w:pStyle w:val="Compact"/>
            </w:pPr>
            <w:r>
              <w:t xml:space="preserve">Precision-critical cap-table &amp; waterfall computations.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DB</w:t>
            </w:r>
          </w:p>
        </w:tc>
        <w:tc>
          <w:tcPr/>
          <w:p>
            <w:pPr>
              <w:pStyle w:val="Compact"/>
            </w:pPr>
            <w:r>
              <w:t xml:space="preserve">PostgreSQL 16 (Cloud SQL HA) + read replica</w:t>
            </w:r>
          </w:p>
        </w:tc>
        <w:tc>
          <w:tcPr/>
          <w:p>
            <w:pPr>
              <w:pStyle w:val="Compact"/>
            </w:pPr>
            <w:r>
              <w:t xml:space="preserve">Relational core, JSONB for flexible terms, row-level security for tenant isolation.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</w:pPr>
            <w:r>
              <w:t xml:space="preserve">GCS buckets (India region), per-tenant prefixes, CMEK</w:t>
            </w:r>
          </w:p>
        </w:tc>
        <w:tc>
          <w:tcPr/>
          <w:p>
            <w:pPr>
              <w:pStyle w:val="Compact"/>
            </w:pPr>
            <w:r>
              <w:t xml:space="preserve">Documents, data-room files, signed PDFs.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/ locks</w:t>
            </w:r>
          </w:p>
        </w:tc>
        <w:tc>
          <w:tcPr/>
          <w:p>
            <w:pPr>
              <w:pStyle w:val="Compact"/>
            </w:pPr>
            <w:r>
              <w:t xml:space="preserve">Redis (Memorystore)</w:t>
            </w:r>
          </w:p>
        </w:tc>
        <w:tc>
          <w:tcPr/>
          <w:p>
            <w:pPr>
              <w:pStyle w:val="Compact"/>
            </w:pPr>
            <w:r>
              <w:t xml:space="preserve">Session, rate-limit, distributed locks for ledger writes.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/ jobs</w:t>
            </w:r>
          </w:p>
        </w:tc>
        <w:tc>
          <w:tcPr/>
          <w:p>
            <w:pPr>
              <w:pStyle w:val="Compact"/>
            </w:pPr>
            <w:r>
              <w:t xml:space="preserve">Cloud Tasks + worker Cloud Run service</w:t>
            </w:r>
          </w:p>
        </w:tc>
        <w:tc>
          <w:tcPr/>
          <w:p>
            <w:pPr>
              <w:pStyle w:val="Compact"/>
            </w:pPr>
            <w:r>
              <w:t xml:space="preserve">e-sign callbacks, doc rendering, reminders, report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Postgres FTS initially; OpenSearch if needed</w:t>
            </w:r>
          </w:p>
        </w:tc>
        <w:tc>
          <w:tcPr/>
          <w:p>
            <w:pPr>
              <w:pStyle w:val="Compact"/>
            </w:pPr>
            <w:r>
              <w:t xml:space="preserve">Document/file-cabinet search.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rendering</w:t>
            </w:r>
          </w:p>
        </w:tc>
        <w:tc>
          <w:tcPr/>
          <w:p>
            <w:pPr>
              <w:pStyle w:val="Compact"/>
            </w:pPr>
            <w:r>
              <w:t xml:space="preserve">HTML/template → PDF (headless renderer); DOCX via templating</w:t>
            </w:r>
          </w:p>
        </w:tc>
        <w:tc>
          <w:tcPr/>
          <w:p>
            <w:pPr>
              <w:pStyle w:val="Compact"/>
            </w:pPr>
            <w:r>
              <w:t xml:space="preserve">Template merge (FR-F-2).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In-house lightweight engine (definitions as data)</w:t>
            </w:r>
          </w:p>
        </w:tc>
        <w:tc>
          <w:tcPr/>
          <w:p>
            <w:pPr>
              <w:pStyle w:val="Compact"/>
            </w:pPr>
            <w:r>
              <w:t xml:space="preserve">Backbone for FR-N; avoids heavyweight BPM.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AuthN</w:t>
            </w:r>
          </w:p>
        </w:tc>
        <w:tc>
          <w:tcPr/>
          <w:p>
            <w:pPr>
              <w:pStyle w:val="Compact"/>
            </w:pPr>
            <w:r>
              <w:t xml:space="preserve">OIDC/SSO + email-OTP; MFA</w:t>
            </w:r>
          </w:p>
        </w:tc>
        <w:tc>
          <w:tcPr/>
          <w:p>
            <w:pPr>
              <w:pStyle w:val="Compact"/>
            </w:pPr>
            <w:r>
              <w:t xml:space="preserve">FR-A-3.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GCP Cloud Run, Cloud SQL, GCS, Cloud Tasks, Secret Manager</w:t>
            </w:r>
          </w:p>
        </w:tc>
        <w:tc>
          <w:tcPr/>
          <w:p>
            <w:pPr>
              <w:pStyle w:val="Compact"/>
            </w:pPr>
            <w:r>
              <w:t xml:space="preserve">Org standard; serverless scaling.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+ Workload Identity Federation</w:t>
            </w:r>
          </w:p>
        </w:tc>
        <w:tc>
          <w:tcPr/>
          <w:p>
            <w:pPr>
              <w:pStyle w:val="Compact"/>
            </w:pPr>
            <w:r>
              <w:t xml:space="preserve">Org standard (matches SMS/CyberAI pattern).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Reproducible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Cloud Logging/Monitoring/Trace; structured logs</w:t>
            </w:r>
          </w:p>
        </w:tc>
        <w:tc>
          <w:tcPr/>
          <w:p>
            <w:pPr>
              <w:pStyle w:val="Compact"/>
            </w:pPr>
            <w:r>
              <w:t xml:space="preserve">NFR-5 ops.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0" w:name="X9e55b3d3cefb61f21823ded8c92669578c6fb2b"/>
    <w:p>
      <w:pPr>
        <w:pStyle w:val="Heading2"/>
      </w:pPr>
      <w:r>
        <w:t xml:space="preserve">6. Data Architecture</w:t>
      </w:r>
    </w:p>
    <w:bookmarkStart w:id="25" w:name="Xbd9c7f107189e97f31d9c6a7a2b65477f355b62"/>
    <w:p>
      <w:pPr>
        <w:pStyle w:val="Heading3"/>
      </w:pPr>
      <w:r>
        <w:t xml:space="preserve">6.1 Stores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PostgreSQL (system of record):</w:t>
      </w:r>
      <w:r>
        <w:t xml:space="preserve"> </w:t>
      </w:r>
      <w:r>
        <w:t xml:space="preserve">all structured domain data — the party/entity/cap-table/fund spine from</w:t>
      </w:r>
      <w:r>
        <w:t xml:space="preserve"> </w:t>
      </w:r>
      <w:r>
        <w:rPr>
          <w:rStyle w:val="VerbatimChar"/>
        </w:rPr>
        <w:t xml:space="preserve">REQUIREMENTS.md §6</w:t>
      </w:r>
      <w:r>
        <w:t xml:space="preserve">. JSONB for variable instrument terms and workflow step payloads.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 storage (GCS):</w:t>
      </w:r>
      <w:r>
        <w:t xml:space="preserve"> </w:t>
      </w:r>
      <w:r>
        <w:t xml:space="preserve">immutable document blobs and data-room files; DB holds metadata + references; signed-PDF originals retained for tamper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Redis:</w:t>
      </w:r>
      <w:r>
        <w:t xml:space="preserve"> </w:t>
      </w:r>
      <w:r>
        <w:t xml:space="preserve">ephemeral cache and locks.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Search index:</w:t>
      </w:r>
      <w:r>
        <w:t xml:space="preserve"> </w:t>
      </w:r>
      <w:r>
        <w:t xml:space="preserve">document/contract/file-cabinet full-text.</w:t>
      </w:r>
    </w:p>
    <w:bookmarkEnd w:id="25"/>
    <w:bookmarkStart w:id="26" w:name="X52b3ae6a8490a5d059c146e2c3d8fc1d02cc2ff"/>
    <w:p>
      <w:pPr>
        <w:pStyle w:val="Heading3"/>
      </w:pPr>
      <w:r>
        <w:t xml:space="preserve">6.2 Multi-tenancy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Shared schema, tenant-scoped rows</w:t>
      </w:r>
      <w:r>
        <w:t xml:space="preserve"> </w:t>
      </w:r>
      <w:r>
        <w:t xml:space="preserve">with a mandatory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PostgreSQL Row-Level Security</w:t>
      </w:r>
      <w:r>
        <w:t xml:space="preserve"> </w:t>
      </w:r>
      <w:r>
        <w:t xml:space="preserve">policies — defence-in-depth so an application bug cannot leak cross-tenant data.</w:t>
      </w:r>
    </w:p>
    <w:p>
      <w:pPr>
        <w:pStyle w:val="Compact"/>
        <w:numPr>
          <w:ilvl w:val="0"/>
          <w:numId w:val="1005"/>
        </w:numPr>
      </w:pPr>
      <w:r>
        <w:t xml:space="preserve">Object storage partitioned by tenant prefix with per-tenant CMEK keys.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Cross-tenant linkage</w:t>
      </w:r>
      <w:r>
        <w:t xml:space="preserve"> </w:t>
      </w:r>
      <w:r>
        <w:t xml:space="preserve">(fund ↔ portfolio company cap table) handled by an explicit, consent-gated</w:t>
      </w:r>
      <w:r>
        <w:t xml:space="preserve"> </w:t>
      </w:r>
      <w:r>
        <w:rPr>
          <w:i/>
          <w:iCs/>
        </w:rPr>
        <w:t xml:space="preserve">sharing grant</w:t>
      </w:r>
      <w:r>
        <w:t xml:space="preserve"> </w:t>
      </w:r>
      <w:r>
        <w:t xml:space="preserve">rather than shared rows.</w:t>
      </w:r>
    </w:p>
    <w:bookmarkEnd w:id="26"/>
    <w:bookmarkStart w:id="27" w:name="Xf195d1f8bd12bb695c8f67b45b86af54ed73918"/>
    <w:p>
      <w:pPr>
        <w:pStyle w:val="Heading3"/>
      </w:pPr>
      <w:r>
        <w:t xml:space="preserve">6.3 Ledger &amp; snapshot pattern</w:t>
      </w:r>
    </w:p>
    <w:p>
      <w:pPr>
        <w:pStyle w:val="FirstParagraph"/>
      </w:pPr>
      <w:r>
        <w:t xml:space="preserve">Cap-table and capital-account state are</w:t>
      </w:r>
      <w:r>
        <w:t xml:space="preserve"> </w:t>
      </w:r>
      <w:r>
        <w:rPr>
          <w:b/>
          <w:bCs/>
        </w:rPr>
        <w:t xml:space="preserve">derived</w:t>
      </w:r>
      <w:r>
        <w:t xml:space="preserve">, not stored as mutable balances:</w:t>
      </w:r>
    </w:p>
    <w:p>
      <w:pPr>
        <w:pStyle w:val="Compact"/>
        <w:numPr>
          <w:ilvl w:val="0"/>
          <w:numId w:val="1006"/>
        </w:numPr>
      </w:pPr>
      <w:r>
        <w:t xml:space="preserve">Append-only</w:t>
      </w:r>
      <w:r>
        <w:t xml:space="preserve"> </w:t>
      </w:r>
      <w:r>
        <w:rPr>
          <w:rStyle w:val="VerbatimChar"/>
        </w:rPr>
        <w:t xml:space="preserve">IssuanceTransaction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ConversionEvent</w:t>
      </w:r>
      <w:r>
        <w:t xml:space="preserve"> </w:t>
      </w:r>
      <w:r>
        <w:t xml:space="preserve">(CapTable) and</w:t>
      </w:r>
      <w:r>
        <w:t xml:space="preserve"> </w:t>
      </w:r>
      <w:r>
        <w:rPr>
          <w:rStyle w:val="VerbatimChar"/>
        </w:rPr>
        <w:t xml:space="preserve">CapitalCall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 </w:t>
      </w:r>
      <w:r>
        <w:t xml:space="preserve">(FundAdmin) events.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CapTableSnapshot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CapitalAccount</w:t>
      </w:r>
      <w:r>
        <w:t xml:space="preserve"> </w:t>
      </w:r>
      <w:r>
        <w:t xml:space="preserve">are materialised projections, recomputable from the ledger, stamped with effective date and source document.</w:t>
      </w:r>
    </w:p>
    <w:p>
      <w:pPr>
        <w:pStyle w:val="Compact"/>
        <w:numPr>
          <w:ilvl w:val="0"/>
          <w:numId w:val="1006"/>
        </w:numPr>
      </w:pPr>
      <w:r>
        <w:t xml:space="preserve">Guarantees NFR-7 traceability and supports time-travel ("cap table as of date X").</w:t>
      </w:r>
    </w:p>
    <w:bookmarkEnd w:id="27"/>
    <w:bookmarkStart w:id="28" w:name="X56543ce81d46c7a8ef0804b5d7670f0cce56a40"/>
    <w:p>
      <w:pPr>
        <w:pStyle w:val="Heading3"/>
      </w:pPr>
      <w:r>
        <w:t xml:space="preserve">6.4 Document as first-class object</w:t>
      </w:r>
    </w:p>
    <w:p>
      <w:pPr>
        <w:pStyle w:val="FirstParagraph"/>
      </w:pPr>
      <w:r>
        <w:rPr>
          <w:rStyle w:val="VerbatimChar"/>
        </w:rPr>
        <w:t xml:space="preserve">Document</w:t>
      </w:r>
      <w:r>
        <w:t xml:space="preserve"> </w:t>
      </w:r>
      <w:r>
        <w:t xml:space="preserve">carries a polymorphic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 </w:t>
      </w:r>
      <w:r>
        <w:t xml:space="preserve">link to any domain object, plus version history and signature state. A share certificate → allotment transaction → board resolution chain is fully navigable.</w:t>
      </w:r>
    </w:p>
    <w:bookmarkEnd w:id="28"/>
    <w:bookmarkStart w:id="29" w:name="X99993aa84f9aabe07027fb44d123dfebb0c477e"/>
    <w:p>
      <w:pPr>
        <w:pStyle w:val="Heading3"/>
      </w:pPr>
      <w:r>
        <w:t xml:space="preserve">6.5 Rules-as-data</w:t>
      </w:r>
    </w:p>
    <w:p>
      <w:pPr>
        <w:pStyle w:val="FirstParagraph"/>
      </w:pPr>
      <w:r>
        <w:t xml:space="preserve">Statutory artifacts — ROC form definitions, compliance deadlines, FEMA pricing methods, valuation rules, stamp-duty rates per state — live in</w:t>
      </w:r>
      <w:r>
        <w:t xml:space="preserve"> </w:t>
      </w:r>
      <w:r>
        <w:rPr>
          <w:b/>
          <w:bCs/>
        </w:rPr>
        <w:t xml:space="preserve">versioned reference tables</w:t>
      </w:r>
      <w:r>
        <w:t xml:space="preserve">, evaluated by a rules service. Effective-dated so historical computations stay correct after a law change.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93240a9b4cf8514cff21e05d2e4747805f3be"/>
    <w:p>
      <w:pPr>
        <w:pStyle w:val="Heading2"/>
      </w:pPr>
      <w:r>
        <w:t xml:space="preserve">7. Workflow Engine (Module N) — backbone design</w:t>
      </w:r>
    </w:p>
    <w:p>
      <w:pPr>
        <w:pStyle w:val="FirstParagraph"/>
      </w:pPr>
      <w:r>
        <w:t xml:space="preserve">The workflow engine is central: most state changes occur inside a workflow run, giving every mutation an auditable origin and approval trail.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WorkflowDefinition</w:t>
      </w:r>
      <w:r>
        <w:t xml:space="preserve"> </w:t>
      </w:r>
      <w:r>
        <w:t xml:space="preserve">— declarative, versioned: ordered/branching</w:t>
      </w:r>
      <w:r>
        <w:t xml:space="preserve"> </w:t>
      </w:r>
      <w:r>
        <w:rPr>
          <w:b/>
          <w:bCs/>
        </w:rPr>
        <w:t xml:space="preserve">steps</w:t>
      </w:r>
      <w:r>
        <w:t xml:space="preserve">, each with a type (</w:t>
      </w:r>
      <w:r>
        <w:rPr>
          <w:rStyle w:val="VerbatimChar"/>
        </w:rPr>
        <w:t xml:space="preserve">collect-input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record-transaction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trigger-filing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external-call</w:t>
      </w:r>
      <w:r>
        <w:t xml:space="preserve">), inputs, guards, and assignees.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WorkflowRun</w:t>
      </w:r>
      <w:r>
        <w:t xml:space="preserve"> </w:t>
      </w:r>
      <w:r>
        <w:t xml:space="preserve">— an instance bound to a legal entity; persists state machine position, collected data, produced artifacts.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execution</w:t>
      </w:r>
      <w:r>
        <w:t xml:space="preserve"> </w:t>
      </w:r>
      <w:r>
        <w:t xml:space="preserve">— synchronous steps run inline; long-running steps (e-sign, external filing, payment) suspend the run and resume on a</w:t>
      </w:r>
      <w:r>
        <w:t xml:space="preserve"> </w:t>
      </w:r>
      <w:r>
        <w:rPr>
          <w:b/>
          <w:bCs/>
        </w:rPr>
        <w:t xml:space="preserve">callback/webhook</w:t>
      </w:r>
      <w:r>
        <w:t xml:space="preserve"> </w:t>
      </w:r>
      <w:r>
        <w:t xml:space="preserve">or job completion.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Branching</w:t>
      </w:r>
      <w:r>
        <w:t xml:space="preserve"> </w:t>
      </w:r>
      <w:r>
        <w:t xml:space="preserve">driven by entity facts (e.g.,</w:t>
      </w:r>
      <w:r>
        <w:t xml:space="preserve"> </w:t>
      </w:r>
      <w:r>
        <w:rPr>
          <w:i/>
          <w:iCs/>
        </w:rPr>
        <w:t xml:space="preserve">foreign investor present → inject FC-GPR step</w:t>
      </w:r>
      <w:r>
        <w:t xml:space="preserve">;</w:t>
      </w:r>
      <w:r>
        <w:t xml:space="preserve"> </w:t>
      </w:r>
      <w:r>
        <w:rPr>
          <w:i/>
          <w:iCs/>
        </w:rPr>
        <w:t xml:space="preserve">AIF Cat III → inject tax step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Idempotency &amp; resumability</w:t>
      </w:r>
      <w:r>
        <w:t xml:space="preserve"> </w:t>
      </w:r>
      <w:r>
        <w:t xml:space="preserve">— each step is idempotent and checkpointed; safe to retry.</w:t>
      </w:r>
    </w:p>
    <w:p>
      <w:pPr>
        <w:pStyle w:val="FirstParagraph"/>
      </w:pPr>
      <w:r>
        <w:t xml:space="preserve">This lets the library of regulated processes (incorporation, priced round, capital call, ESOP grant) be authored as configuration rather than bespoke code.</w:t>
      </w:r>
    </w:p>
    <w:p>
      <w:r>
        <w:pict>
          <v:rect style="width:0;height:1.5pt" o:hralign="center" o:hrstd="t" o:hr="t"/>
        </w:pict>
      </w:r>
    </w:p>
    <w:bookmarkEnd w:id="31"/>
    <w:bookmarkStart w:id="32" w:name="X64b15e8e443f0bf9347b90ecea236887dcc9dfd"/>
    <w:p>
      <w:pPr>
        <w:pStyle w:val="Heading2"/>
      </w:pPr>
      <w:r>
        <w:t xml:space="preserve">8. Integration Architecture</w:t>
      </w:r>
    </w:p>
    <w:p>
      <w:pPr>
        <w:pStyle w:val="FirstParagraph"/>
      </w:pPr>
      <w:r>
        <w:t xml:space="preserve">All external systems sit behind an</w:t>
      </w:r>
      <w:r>
        <w:t xml:space="preserve"> </w:t>
      </w:r>
      <w:r>
        <w:rPr>
          <w:b/>
          <w:bCs/>
        </w:rPr>
        <w:t xml:space="preserve">adapter (anti-corruption) layer</w:t>
      </w:r>
      <w:r>
        <w:t xml:space="preserve"> </w:t>
      </w:r>
      <w:r>
        <w:t xml:space="preserve">exposing stable internal interfaces, so providers can be swapped and so workflow steps depend on capabilities, not vendors.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Provider(s) (integrate, not build)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e-Signature</w:t>
            </w:r>
          </w:p>
        </w:tc>
        <w:tc>
          <w:tcPr/>
          <w:p>
            <w:pPr>
              <w:pStyle w:val="Compact"/>
            </w:pPr>
            <w:r>
              <w:t xml:space="preserve">Aadhaar eSign (eMudhra/NSDL), Leegality, DocuSign</w:t>
            </w:r>
          </w:p>
        </w:tc>
        <w:tc>
          <w:tcPr/>
          <w:p>
            <w:pPr>
              <w:pStyle w:val="Compact"/>
            </w:pPr>
            <w:r>
              <w:t xml:space="preserve">Async; webhook on completion → resume workflow; store tamper-evident 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/ KYC</w:t>
            </w:r>
          </w:p>
        </w:tc>
        <w:tc>
          <w:tcPr/>
          <w:p>
            <w:pPr>
              <w:pStyle w:val="Compact"/>
            </w:pPr>
            <w:r>
              <w:t xml:space="preserve">DigiLocker, Aadhaar e-KYC, PAN verify, CKYC</w:t>
            </w:r>
          </w:p>
        </w:tc>
        <w:tc>
          <w:tcPr/>
          <w:p>
            <w:pPr>
              <w:pStyle w:val="Compact"/>
            </w:pPr>
            <w:r>
              <w:t xml:space="preserve">Sync verify + cached KYC profile reuse.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 / ROC</w:t>
            </w:r>
          </w:p>
        </w:tc>
        <w:tc>
          <w:tcPr/>
          <w:p>
            <w:pPr>
              <w:pStyle w:val="Compact"/>
            </w:pPr>
            <w:r>
              <w:t xml:space="preserve">MCA21 (assisted; export packages where no API)</w:t>
            </w:r>
          </w:p>
        </w:tc>
        <w:tc>
          <w:tcPr/>
          <w:p>
            <w:pPr>
              <w:pStyle w:val="Compact"/>
            </w:pPr>
            <w:r>
              <w:t xml:space="preserve">Prepare validated package → CS files → capture SRN.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t xml:space="preserve">RBI FIRMS/SMF (FC-GPR/FC-TRS/FLA)</w:t>
            </w:r>
          </w:p>
        </w:tc>
        <w:tc>
          <w:tcPr/>
          <w:p>
            <w:pPr>
              <w:pStyle w:val="Compact"/>
            </w:pPr>
            <w:r>
              <w:t xml:space="preserve">Generate filing pack with valuation + CS cert; track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 / escrow</w:t>
            </w:r>
          </w:p>
        </w:tc>
        <w:tc>
          <w:tcPr/>
          <w:p>
            <w:pPr>
              <w:pStyle w:val="Compact"/>
            </w:pPr>
            <w:r>
              <w:t xml:space="preserve">Regulated gateway/escrow partner</w:t>
            </w:r>
          </w:p>
        </w:tc>
        <w:tc>
          <w:tcPr/>
          <w:p>
            <w:pPr>
              <w:pStyle w:val="Compact"/>
            </w:pPr>
            <w:r>
              <w:t xml:space="preserve">Collect subscription monies/drawdowns; reconcile bank statements.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</w:t>
            </w:r>
          </w:p>
        </w:tc>
        <w:tc>
          <w:tcPr/>
          <w:p>
            <w:pPr>
              <w:pStyle w:val="Compact"/>
            </w:pPr>
            <w:r>
              <w:t xml:space="preserve">Tally / Zoho Books / QuickBooks</w:t>
            </w:r>
          </w:p>
        </w:tc>
        <w:tc>
          <w:tcPr/>
          <w:p>
            <w:pPr>
              <w:pStyle w:val="Compact"/>
            </w:pPr>
            <w:r>
              <w:t xml:space="preserve">Export equity &amp; fund transactions.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Registered valuer / merchant banker (via Services marketplace)</w:t>
            </w:r>
          </w:p>
        </w:tc>
        <w:tc>
          <w:tcPr/>
          <w:p>
            <w:pPr>
              <w:pStyle w:val="Compact"/>
            </w:pPr>
            <w:r>
              <w:t xml:space="preserve">Engagement → report artifact → links to round/grant/FEMA.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NSDL / CDSL / RTA</w:t>
            </w:r>
          </w:p>
        </w:tc>
        <w:tc>
          <w:tcPr/>
          <w:p>
            <w:pPr>
              <w:pStyle w:val="Compact"/>
            </w:pPr>
            <w:r>
              <w:t xml:space="preserve">ISIN, demat status; hand-off.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e-Stamp</w:t>
            </w:r>
          </w:p>
        </w:tc>
        <w:tc>
          <w:tcPr/>
          <w:p>
            <w:pPr>
              <w:pStyle w:val="Compact"/>
            </w:pPr>
            <w:r>
              <w:t xml:space="preserve">SHCIL / state e-stamp</w:t>
            </w:r>
          </w:p>
        </w:tc>
        <w:tc>
          <w:tcPr/>
          <w:p>
            <w:pPr>
              <w:pStyle w:val="Compact"/>
            </w:pPr>
            <w:r>
              <w:t xml:space="preserve">Stamp-duty reference on issue/transfer.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Resilience:</w:t>
      </w:r>
      <w:r>
        <w:t xml:space="preserve"> </w:t>
      </w:r>
      <w:r>
        <w:t xml:space="preserve">adapters implement timeouts, retries with backoff, circuit breakers; all outbound calls and inbound webhooks are logged to the audit trail; webhook endpoints verify signatures and are idempotent.</w:t>
      </w:r>
    </w:p>
    <w:p>
      <w:r>
        <w:pict>
          <v:rect style="width:0;height:1.5pt" o:hralign="center" o:hrstd="t" o:hr="t"/>
        </w:pict>
      </w:r>
    </w:p>
    <w:bookmarkEnd w:id="32"/>
    <w:bookmarkStart w:id="37" w:name="X897718c2873dd2f41612e074b34b68accd1a6de"/>
    <w:p>
      <w:pPr>
        <w:pStyle w:val="Heading2"/>
      </w:pPr>
      <w:r>
        <w:t xml:space="preserve">9. Key Runtime Flows</w:t>
      </w:r>
    </w:p>
    <w:bookmarkStart w:id="33" w:name="Xcc00c0b45289a1c270c34fad43f5745d2b2e96f"/>
    <w:p>
      <w:pPr>
        <w:pStyle w:val="Heading3"/>
      </w:pPr>
      <w:r>
        <w:t xml:space="preserve">9.1 Incorporate a private limited company (FR-B)</w:t>
      </w:r>
    </w:p>
    <w:p>
      <w:pPr>
        <w:pStyle w:val="SourceCode"/>
      </w:pPr>
      <w:r>
        <w:rPr>
          <w:rStyle w:val="VerbatimChar"/>
        </w:rPr>
        <w:t xml:space="preserve">Founder → Workflow "Incorporate PvtLtd"</w:t>
      </w:r>
      <w:r>
        <w:br/>
      </w:r>
      <w:r>
        <w:rPr>
          <w:rStyle w:val="VerbatimChar"/>
        </w:rPr>
        <w:t xml:space="preserve">  collect promoters/directors/capital/office</w:t>
      </w:r>
      <w:r>
        <w:br/>
      </w:r>
      <w:r>
        <w:rPr>
          <w:rStyle w:val="VerbatimChar"/>
        </w:rPr>
        <w:t xml:space="preserve">  → run KYC (DigiLocker/PAN) per director</w:t>
      </w:r>
      <w:r>
        <w:br/>
      </w:r>
      <w:r>
        <w:rPr>
          <w:rStyle w:val="VerbatimChar"/>
        </w:rPr>
        <w:t xml:space="preserve">  → generate SPICe+/eMoA/eAoA/AGILE-PRO package (Document svc)</w:t>
      </w:r>
      <w:r>
        <w:br/>
      </w:r>
      <w:r>
        <w:rPr>
          <w:rStyle w:val="VerbatimChar"/>
        </w:rPr>
        <w:t xml:space="preserve">  → request e-sign (DSC/Aadhaar eSign)</w:t>
      </w:r>
      <w:r>
        <w:br/>
      </w:r>
      <w:r>
        <w:rPr>
          <w:rStyle w:val="VerbatimChar"/>
        </w:rPr>
        <w:t xml:space="preserve">  → produce filing-ready pack → assign CS (Services) to file on MCA21</w:t>
      </w:r>
      <w:r>
        <w:br/>
      </w:r>
      <w:r>
        <w:rPr>
          <w:rStyle w:val="VerbatimChar"/>
        </w:rPr>
        <w:t xml:space="preserve">  → on CIN/PAN/TAN captured: create LegalEntity, seed CorporateRecord &amp; registers</w:t>
      </w:r>
      <w:r>
        <w:br/>
      </w:r>
      <w:r>
        <w:rPr>
          <w:rStyle w:val="VerbatimChar"/>
        </w:rPr>
        <w:t xml:space="preserve">  → generate compliance calendar (Compliance) from incorp date/FY</w:t>
      </w:r>
    </w:p>
    <w:bookmarkEnd w:id="33"/>
    <w:bookmarkStart w:id="34" w:name="X09321a5efb4e2816ed1530b1ea6af58b2341185"/>
    <w:p>
      <w:pPr>
        <w:pStyle w:val="Heading3"/>
      </w:pPr>
      <w:r>
        <w:t xml:space="preserve">9.2 Priced round with a foreign investor (FR-E + FR-H FEMA)</w:t>
      </w:r>
    </w:p>
    <w:p>
      <w:pPr>
        <w:pStyle w:val="SourceCode"/>
      </w:pPr>
      <w:r>
        <w:rPr>
          <w:rStyle w:val="VerbatimChar"/>
        </w:rPr>
        <w:t xml:space="preserve">Founder → Workflow "Priced Round"</w:t>
      </w:r>
      <w:r>
        <w:br/>
      </w:r>
      <w:r>
        <w:rPr>
          <w:rStyle w:val="VerbatimChar"/>
        </w:rPr>
        <w:t xml:space="preserve">  define round/terms → generate term sheet → negotiate/version</w:t>
      </w:r>
      <w:r>
        <w:br/>
      </w:r>
      <w:r>
        <w:rPr>
          <w:rStyle w:val="VerbatimChar"/>
        </w:rPr>
        <w:t xml:space="preserve">  → engage valuer (Valuation, Rule 11UA / FEMA pricing) → store report</w:t>
      </w:r>
      <w:r>
        <w:br/>
      </w:r>
      <w:r>
        <w:rPr>
          <w:rStyle w:val="VerbatimChar"/>
        </w:rPr>
        <w:t xml:space="preserve">  → generate SHA/SSA/board+shareholder resolutions/PAS-4 (Document svc)</w:t>
      </w:r>
      <w:r>
        <w:br/>
      </w:r>
      <w:r>
        <w:rPr>
          <w:rStyle w:val="VerbatimChar"/>
        </w:rPr>
        <w:t xml:space="preserve">  → open round Data Room; invite investors; track engagement</w:t>
      </w:r>
      <w:r>
        <w:br/>
      </w:r>
      <w:r>
        <w:rPr>
          <w:rStyle w:val="VerbatimChar"/>
        </w:rPr>
        <w:t xml:space="preserve">  → collect commitments → e-sign deal docs</w:t>
      </w:r>
      <w:r>
        <w:br/>
      </w:r>
      <w:r>
        <w:rPr>
          <w:rStyle w:val="VerbatimChar"/>
        </w:rPr>
        <w:t xml:space="preserve">  → on closing: record IssuanceTransaction(s) → update CapTableSnapshot</w:t>
      </w:r>
      <w:r>
        <w:br/>
      </w:r>
      <w:r>
        <w:rPr>
          <w:rStyle w:val="VerbatimChar"/>
        </w:rPr>
        <w:t xml:space="preserve">     → generate share certificates → Register of Members entry → stamp duty</w:t>
      </w:r>
      <w:r>
        <w:br/>
      </w:r>
      <w:r>
        <w:rPr>
          <w:rStyle w:val="VerbatimChar"/>
        </w:rPr>
        <w:t xml:space="preserve">  → branch: foreign investor present</w:t>
      </w:r>
      <w:r>
        <w:br/>
      </w:r>
      <w:r>
        <w:rPr>
          <w:rStyle w:val="VerbatimChar"/>
        </w:rPr>
        <w:t xml:space="preserve">     → inject FC-GPR filing task (Compliance) with valuation + CS cert + FIRC/KYC</w:t>
      </w:r>
      <w:r>
        <w:br/>
      </w:r>
      <w:r>
        <w:rPr>
          <w:rStyle w:val="VerbatimChar"/>
        </w:rPr>
        <w:t xml:space="preserve">  → publish investor portal holdings</w:t>
      </w:r>
    </w:p>
    <w:bookmarkEnd w:id="34"/>
    <w:bookmarkStart w:id="35" w:name="X5c2a246798ee996e19e4e014c2cb754d81289b0"/>
    <w:p>
      <w:pPr>
        <w:pStyle w:val="Heading3"/>
      </w:pPr>
      <w:r>
        <w:t xml:space="preserve">9.3 Capital call (FR-J)</w:t>
      </w:r>
    </w:p>
    <w:p>
      <w:pPr>
        <w:pStyle w:val="SourceCode"/>
      </w:pPr>
      <w:r>
        <w:rPr>
          <w:rStyle w:val="VerbatimChar"/>
        </w:rPr>
        <w:t xml:space="preserve">GP → Workflow "Drawdown N"</w:t>
      </w:r>
      <w:r>
        <w:br/>
      </w:r>
      <w:r>
        <w:rPr>
          <w:rStyle w:val="VerbatimChar"/>
        </w:rPr>
        <w:t xml:space="preserve">  compute pro-rata across CapitalCommitments</w:t>
      </w:r>
      <w:r>
        <w:br/>
      </w:r>
      <w:r>
        <w:rPr>
          <w:rStyle w:val="VerbatimChar"/>
        </w:rPr>
        <w:t xml:space="preserve">  → generate per-LP DrawdownNotices → notify LPs (Notification)</w:t>
      </w:r>
      <w:r>
        <w:br/>
      </w:r>
      <w:r>
        <w:rPr>
          <w:rStyle w:val="VerbatimChar"/>
        </w:rPr>
        <w:t xml:space="preserve">  → track payments (Payments adapter) → update CapitalAccounts (ledger)</w:t>
      </w:r>
      <w:r>
        <w:br/>
      </w:r>
      <w:r>
        <w:rPr>
          <w:rStyle w:val="VerbatimChar"/>
        </w:rPr>
        <w:t xml:space="preserve">  → defaulting-LP handling branch</w:t>
      </w:r>
      <w:r>
        <w:br/>
      </w:r>
      <w:r>
        <w:rPr>
          <w:rStyle w:val="VerbatimChar"/>
        </w:rPr>
        <w:t xml:space="preserve">  → LP portal reflects drawn/remaining</w:t>
      </w:r>
    </w:p>
    <w:bookmarkEnd w:id="35"/>
    <w:bookmarkStart w:id="36" w:name="X295b045b1e18da4f70f147405af4c240cadc086"/>
    <w:p>
      <w:pPr>
        <w:pStyle w:val="Heading3"/>
      </w:pPr>
      <w:r>
        <w:t xml:space="preserve">9.4 e-Sign (cross-cutting, async)</w:t>
      </w:r>
    </w:p>
    <w:p>
      <w:pPr>
        <w:pStyle w:val="SourceCode"/>
      </w:pPr>
      <w:r>
        <w:rPr>
          <w:rStyle w:val="VerbatimChar"/>
        </w:rPr>
        <w:t xml:space="preserve">Document svc → SignatureRequest → e-Sign adapter (provider)</w:t>
      </w:r>
      <w:r>
        <w:br/>
      </w:r>
      <w:r>
        <w:rPr>
          <w:rStyle w:val="VerbatimChar"/>
        </w:rPr>
        <w:t xml:space="preserve">  workflow step SUSPENDS</w:t>
      </w:r>
      <w:r>
        <w:br/>
      </w:r>
      <w:r>
        <w:rPr>
          <w:rStyle w:val="VerbatimChar"/>
        </w:rPr>
        <w:t xml:space="preserve">  provider webhook (signed) → verify signature → store tamper-evident PDF</w:t>
      </w:r>
      <w:r>
        <w:br/>
      </w:r>
      <w:r>
        <w:rPr>
          <w:rStyle w:val="VerbatimChar"/>
        </w:rPr>
        <w:t xml:space="preserve">  → mark Document signed → RESUME workflow → audit log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0f5a79196ab9697f8401b7890b485cc83b629d4"/>
    <w:p>
      <w:pPr>
        <w:pStyle w:val="Heading2"/>
      </w:pPr>
      <w:r>
        <w:t xml:space="preserve">10. Security Architecture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AuthN:</w:t>
      </w:r>
      <w:r>
        <w:t xml:space="preserve"> </w:t>
      </w:r>
      <w:r>
        <w:t xml:space="preserve">OIDC/SSO + email-OTP; MFA for privileged roles; DSC registration for directors/CS (FR-A-6). Short-lived JWT access tokens + refresh; sessions in Redis.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AuthZ:</w:t>
      </w:r>
      <w:r>
        <w:t xml:space="preserve"> </w:t>
      </w:r>
      <w:r>
        <w:t xml:space="preserve">RBAC with per-resource scopes (FR-A-2). Authorization enforced in the application command layer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at the database via Postgres RLS (defence-in-depth). External professionals get time-boxed, scoped guest grants.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Tenant isolation:</w:t>
      </w:r>
      <w:r>
        <w:t xml:space="preserve"> </w:t>
      </w:r>
      <w:r>
        <w:t xml:space="preserve">mandatory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+ RLS; per-tenant CMEK for object storage; cross-tenant access only via explicit consent grants.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Encryption:</w:t>
      </w:r>
      <w:r>
        <w:t xml:space="preserve"> </w:t>
      </w:r>
      <w:r>
        <w:t xml:space="preserve">TLS 1.2+ in transit; AES-256 at rest (CMEK in KMS); secrets in Secret Manager; field-level encryption for high-sensitivity PII (Aadhaar, bank).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 integrity:</w:t>
      </w:r>
      <w:r>
        <w:t xml:space="preserve"> </w:t>
      </w:r>
      <w:r>
        <w:t xml:space="preserve">signed PDFs retained immutably; hash recorded; e-sign audit trail attached.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Privacy / DPDP (NFR-3):</w:t>
      </w:r>
      <w:r>
        <w:t xml:space="preserve"> </w:t>
      </w:r>
      <w:r>
        <w:t xml:space="preserve">consent capture, purpose limitation, data-principal rights (access/erasure) workflows, configurable retention, breach-notification runbook.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residency (NFR-2):</w:t>
      </w:r>
      <w:r>
        <w:t xml:space="preserve"> </w:t>
      </w:r>
      <w:r>
        <w:t xml:space="preserve">all PII/regulated data and backups pinned to an India GCP region.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(NFR-4):</w:t>
      </w:r>
      <w:r>
        <w:t xml:space="preserve"> </w:t>
      </w:r>
      <w:r>
        <w:t xml:space="preserve">every legally significant action emits an immutable, time-stamped</w:t>
      </w:r>
      <w:r>
        <w:t xml:space="preserve"> </w:t>
      </w:r>
      <w:r>
        <w:rPr>
          <w:rStyle w:val="VerbatimChar"/>
        </w:rPr>
        <w:t xml:space="preserve">AuditLogEntry</w:t>
      </w:r>
      <w:r>
        <w:t xml:space="preserve"> </w:t>
      </w:r>
      <w:r>
        <w:t xml:space="preserve">(actor, action, subject, before/after); write-once storage; exportable.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security:</w:t>
      </w:r>
      <w:r>
        <w:t xml:space="preserve"> </w:t>
      </w:r>
      <w:r>
        <w:t xml:space="preserve">input validation (Pydantic), output encoding, CSRF/CORS controls, rate limiting at gateway, dependency scanning, periodic pen-tests.</w:t>
      </w:r>
    </w:p>
    <w:p>
      <w:r>
        <w:pict>
          <v:rect style="width:0;height:1.5pt" o:hralign="center" o:hrstd="t" o:hr="t"/>
        </w:pict>
      </w:r>
    </w:p>
    <w:bookmarkEnd w:id="38"/>
    <w:bookmarkStart w:id="39" w:name="X5e01f2d96969b720b352d47cab1e2727d37fe38"/>
    <w:p>
      <w:pPr>
        <w:pStyle w:val="Heading2"/>
      </w:pPr>
      <w:r>
        <w:t xml:space="preserve">11. Deployment Architecture</w:t>
      </w:r>
    </w:p>
    <w:p>
      <w:pPr>
        <w:pStyle w:val="SourceCode"/>
      </w:pPr>
      <w:r>
        <w:rPr>
          <w:rStyle w:val="VerbatimChar"/>
        </w:rPr>
        <w:t xml:space="preserve">GitHub → GitHub Actions (WIF, no static keys) → build/test/scan</w:t>
      </w:r>
      <w:r>
        <w:br/>
      </w:r>
      <w:r>
        <w:rPr>
          <w:rStyle w:val="VerbatimChar"/>
        </w:rPr>
        <w:t xml:space="preserve">       → push image to Artifact Registry</w:t>
      </w:r>
      <w:r>
        <w:br/>
      </w:r>
      <w:r>
        <w:rPr>
          <w:rStyle w:val="VerbatimChar"/>
        </w:rPr>
        <w:t xml:space="preserve">       → deploy to Cloud Run (per environment)</w:t>
      </w:r>
      <w:r>
        <w:br/>
      </w:r>
      <w:r>
        <w:br/>
      </w:r>
      <w:r>
        <w:rPr>
          <w:rStyle w:val="VerbatimChar"/>
        </w:rPr>
        <w:t xml:space="preserve">Environments: dev → staging → prod  (separate GCP projects)</w:t>
      </w:r>
      <w:r>
        <w:br/>
      </w:r>
      <w:r>
        <w:br/>
      </w:r>
      <w:r>
        <w:rPr>
          <w:rStyle w:val="VerbatimChar"/>
        </w:rPr>
        <w:t xml:space="preserve">           ┌──────────── Cloud Run ────────────┐</w:t>
      </w:r>
      <w:r>
        <w:br/>
      </w:r>
      <w:r>
        <w:rPr>
          <w:rStyle w:val="VerbatimChar"/>
        </w:rPr>
        <w:t xml:space="preserve"> Clients → │  api (gateway+modules)  worker(jobs)│</w:t>
      </w:r>
      <w:r>
        <w:br/>
      </w:r>
      <w:r>
        <w:rPr>
          <w:rStyle w:val="VerbatimChar"/>
        </w:rPr>
        <w:t xml:space="preserve">           └─────────┬───────────────┬──────────┘</w:t>
      </w:r>
      <w:r>
        <w:br/>
      </w:r>
      <w:r>
        <w:rPr>
          <w:rStyle w:val="VerbatimChar"/>
        </w:rPr>
        <w:t xml:space="preserve">                     │               │</w:t>
      </w:r>
      <w:r>
        <w:br/>
      </w:r>
      <w:r>
        <w:rPr>
          <w:rStyle w:val="VerbatimChar"/>
        </w:rPr>
        <w:t xml:space="preserve">        Cloud SQL (Postgres HA)   Cloud Tasks</w:t>
      </w:r>
      <w:r>
        <w:br/>
      </w:r>
      <w:r>
        <w:rPr>
          <w:rStyle w:val="VerbatimChar"/>
        </w:rPr>
        <w:t xml:space="preserve">        + read replica            (async queue)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GCS (docs, India region, CMEK) · Memorystore (Redis)</w:t>
      </w:r>
      <w:r>
        <w:br/>
      </w:r>
      <w:r>
        <w:rPr>
          <w:rStyle w:val="VerbatimChar"/>
        </w:rPr>
        <w:t xml:space="preserve">        · Secret Manager · Cloud KMS · Cloud Logging/Monitoring/Trace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stateless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Cloud Run services, autoscaling, multi-zone.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Cloud SQL Postgres with HA + automated backups + PITR; read replica for reporting.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Networking:</w:t>
      </w:r>
      <w:r>
        <w:t xml:space="preserve"> </w:t>
      </w:r>
      <w:r>
        <w:t xml:space="preserve">HTTPS only; serverless VPC connector to private Cloud SQL/Redis; WAF/Cloud Armor at the edge.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Secrets/keys:</w:t>
      </w:r>
      <w:r>
        <w:t xml:space="preserve"> </w:t>
      </w:r>
      <w:r>
        <w:t xml:space="preserve">Secret Manager + KMS; no long-lived credentials (WIF).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IaC:</w:t>
      </w:r>
      <w:r>
        <w:t xml:space="preserve"> </w:t>
      </w:r>
      <w:r>
        <w:t xml:space="preserve">Terraform-managed, reviewed per environment.</w:t>
      </w:r>
    </w:p>
    <w:p>
      <w:r>
        <w:pict>
          <v:rect style="width:0;height:1.5pt" o:hralign="center" o:hrstd="t" o:hr="t"/>
        </w:pict>
      </w:r>
    </w:p>
    <w:bookmarkEnd w:id="39"/>
    <w:bookmarkStart w:id="40" w:name="X7b53c4517e26039fdd447c09a49465dfcb19fc1"/>
    <w:p>
      <w:pPr>
        <w:pStyle w:val="Heading2"/>
      </w:pPr>
      <w:r>
        <w:t xml:space="preserve">12. Cross-Cutting Concerns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&amp; activity</w:t>
            </w:r>
          </w:p>
        </w:tc>
        <w:tc>
          <w:tcPr/>
          <w:p>
            <w:pPr>
              <w:pStyle w:val="Compact"/>
            </w:pPr>
            <w:r>
              <w:t xml:space="preserve">Central append-only log; all mutations via command/workflow 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Email + in-app; SMS/WhatsApp for critical reminders; templated; per-user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Reminders/scheduling</w:t>
            </w:r>
          </w:p>
        </w:tc>
        <w:tc>
          <w:tcPr/>
          <w:p>
            <w:pPr>
              <w:pStyle w:val="Compact"/>
            </w:pPr>
            <w:r>
              <w:t xml:space="preserve">Compliance calendar → scheduled jobs (Cloud Scheduler → Tasks) generate due/overdue notifications with assignee escalation.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Structured JSON logs, request tracing, metrics, alerting on SLOs.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Typed errors, idempotent retries for integrations, dead-letter for failed jobs.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Reporting/export</w:t>
            </w:r>
          </w:p>
        </w:tc>
        <w:tc>
          <w:tcPr/>
          <w:p>
            <w:pPr>
              <w:pStyle w:val="Compact"/>
            </w:pPr>
            <w:r>
              <w:t xml:space="preserve">Async report generation (cap table, ownership, LP capital accounts, compliance health) to PDF/Excel; tenant data export on demand (NFR-8/M-8).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Internationalisation</w:t>
            </w:r>
          </w:p>
        </w:tc>
        <w:tc>
          <w:tcPr/>
          <w:p>
            <w:pPr>
              <w:pStyle w:val="Compact"/>
            </w:pPr>
            <w:r>
              <w:t xml:space="preserve">INR/Indian formats; English first; key flows localisable (P2).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gating</w:t>
            </w:r>
          </w:p>
        </w:tc>
        <w:tc>
          <w:tcPr/>
          <w:p>
            <w:pPr>
              <w:pStyle w:val="Compact"/>
            </w:pPr>
            <w:r>
              <w:t xml:space="preserve">Module enable/disable per tenant type (startup vs fund) and plan tier.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fdb41bd0dad8814b5a2ea76d4262d9e11f61d75"/>
    <w:p>
      <w:pPr>
        <w:pStyle w:val="Heading2"/>
      </w:pPr>
      <w:r>
        <w:t xml:space="preserve">13. Key Design Decisions (ADR summary)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ADR-1</w:t>
            </w:r>
          </w:p>
        </w:tc>
        <w:tc>
          <w:tcPr/>
          <w:p>
            <w:pPr>
              <w:pStyle w:val="Compact"/>
            </w:pPr>
            <w:r>
              <w:t xml:space="preserve">Modular monolith over microservices (v1)</w:t>
            </w:r>
          </w:p>
        </w:tc>
        <w:tc>
          <w:tcPr/>
          <w:p>
            <w:pPr>
              <w:pStyle w:val="Compact"/>
            </w:pPr>
            <w:r>
              <w:t xml:space="preserve">Dense relational core; faster delivery; clean seams for later extraction</w:t>
            </w:r>
          </w:p>
        </w:tc>
        <w:tc>
          <w:tcPr/>
          <w:p>
            <w:pPr>
              <w:pStyle w:val="Compact"/>
            </w:pPr>
            <w:r>
              <w:t xml:space="preserve">Single deploy unit; must enforce module boundaries in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</w:t>
            </w:r>
          </w:p>
        </w:tc>
        <w:tc>
          <w:tcPr/>
          <w:p>
            <w:pPr>
              <w:pStyle w:val="Compact"/>
            </w:pPr>
            <w:r>
              <w:t xml:space="preserve">Event-sourced ledger + materialised snapshots for cap table &amp; capital accounts</w:t>
            </w:r>
          </w:p>
        </w:tc>
        <w:tc>
          <w:tcPr/>
          <w:p>
            <w:pPr>
              <w:pStyle w:val="Compact"/>
            </w:pPr>
            <w:r>
              <w:t xml:space="preserve">Traceability (NFR-7), time-travel, audit</w:t>
            </w:r>
          </w:p>
        </w:tc>
        <w:tc>
          <w:tcPr/>
          <w:p>
            <w:pPr>
              <w:pStyle w:val="Compact"/>
            </w:pPr>
            <w:r>
              <w:t xml:space="preserve">More compute to project; recomputation logic to maintain.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ADR-3</w:t>
            </w:r>
          </w:p>
        </w:tc>
        <w:tc>
          <w:tcPr/>
          <w:p>
            <w:pPr>
              <w:pStyle w:val="Compact"/>
            </w:pPr>
            <w:r>
              <w:t xml:space="preserve">Rules/forms/deadlines as versioned data</w:t>
            </w:r>
          </w:p>
        </w:tc>
        <w:tc>
          <w:tcPr/>
          <w:p>
            <w:pPr>
              <w:pStyle w:val="Compact"/>
            </w:pPr>
            <w:r>
              <w:t xml:space="preserve">Regulation changes without code changes</w:t>
            </w:r>
          </w:p>
        </w:tc>
        <w:tc>
          <w:tcPr/>
          <w:p>
            <w:pPr>
              <w:pStyle w:val="Compact"/>
            </w:pPr>
            <w:r>
              <w:t xml:space="preserve">Needs a rules-authoring + governance process.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ADR-4</w:t>
            </w:r>
          </w:p>
        </w:tc>
        <w:tc>
          <w:tcPr/>
          <w:p>
            <w:pPr>
              <w:pStyle w:val="Compact"/>
            </w:pPr>
            <w:r>
              <w:t xml:space="preserve">Workflow engine as the mutation backbone</w:t>
            </w:r>
          </w:p>
        </w:tc>
        <w:tc>
          <w:tcPr/>
          <w:p>
            <w:pPr>
              <w:pStyle w:val="Compact"/>
            </w:pPr>
            <w:r>
              <w:t xml:space="preserve">Auditable, resumable, config-driven processes</w:t>
            </w:r>
          </w:p>
        </w:tc>
        <w:tc>
          <w:tcPr/>
          <w:p>
            <w:pPr>
              <w:pStyle w:val="Compact"/>
            </w:pPr>
            <w:r>
              <w:t xml:space="preserve">Engine is critical infrastructure; must be robust.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ADR-5</w:t>
            </w:r>
          </w:p>
        </w:tc>
        <w:tc>
          <w:tcPr/>
          <w:p>
            <w:pPr>
              <w:pStyle w:val="Compact"/>
            </w:pPr>
            <w:r>
              <w:t xml:space="preserve">Postgres RLS for tenant isolation (+ app checks)</w:t>
            </w:r>
          </w:p>
        </w:tc>
        <w:tc>
          <w:tcPr/>
          <w:p>
            <w:pPr>
              <w:pStyle w:val="Compact"/>
            </w:pPr>
            <w:r>
              <w:t xml:space="preserve">Defence-in-depth against cross-tenant leakage</w:t>
            </w:r>
          </w:p>
        </w:tc>
        <w:tc>
          <w:tcPr/>
          <w:p>
            <w:pPr>
              <w:pStyle w:val="Compact"/>
            </w:pPr>
            <w:r>
              <w:t xml:space="preserve">RLS adds query complexity.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ADR-6</w:t>
            </w:r>
          </w:p>
        </w:tc>
        <w:tc>
          <w:tcPr/>
          <w:p>
            <w:pPr>
              <w:pStyle w:val="Compact"/>
            </w:pPr>
            <w:r>
              <w:t xml:space="preserve">Integrate specialist providers behind adapters</w:t>
            </w:r>
          </w:p>
        </w:tc>
        <w:tc>
          <w:tcPr/>
          <w:p>
            <w:pPr>
              <w:pStyle w:val="Compact"/>
            </w:pPr>
            <w:r>
              <w:t xml:space="preserve">Speed, compliance, focus</w:t>
            </w:r>
          </w:p>
        </w:tc>
        <w:tc>
          <w:tcPr/>
          <w:p>
            <w:pPr>
              <w:pStyle w:val="Compact"/>
            </w:pPr>
            <w:r>
              <w:t xml:space="preserve">Vendor dependency; adapter maintenance.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ADR-7</w:t>
            </w:r>
          </w:p>
        </w:tc>
        <w:tc>
          <w:tcPr/>
          <w:p>
            <w:pPr>
              <w:pStyle w:val="Compact"/>
            </w:pPr>
            <w:r>
              <w:t xml:space="preserve">Prepare-and-assist filing model</w:t>
            </w:r>
          </w:p>
        </w:tc>
        <w:tc>
          <w:tcPr/>
          <w:p>
            <w:pPr>
              <w:pStyle w:val="Compact"/>
            </w:pPr>
            <w:r>
              <w:t xml:space="preserve">Legal/licensing reality in India</w:t>
            </w:r>
          </w:p>
        </w:tc>
        <w:tc>
          <w:tcPr/>
          <w:p>
            <w:pPr>
              <w:pStyle w:val="Compact"/>
            </w:pPr>
            <w:r>
              <w:t xml:space="preserve">Not fully self-serve for statutory filing; partner network required.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28cc5eddec27d29677b1c9e207742dc5a643033"/>
    <w:p>
      <w:pPr>
        <w:pStyle w:val="Heading2"/>
      </w:pPr>
      <w:r>
        <w:t xml:space="preserve">14. Mapping to Requirements &amp; Phasing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Phase 1 (MVP):</w:t>
      </w:r>
      <w:r>
        <w:t xml:space="preserve"> </w:t>
      </w:r>
      <w:r>
        <w:t xml:space="preserve">Identity, Entity, CapTable, Document+e-Sign, DataRoom, Compliance (calendar + ROC/FEMA basics), Portal (basic), Workflow engine, Workspace/dashboard — i.e., the relational core + workflow backbone + startup happy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Phase 2:</w:t>
      </w:r>
      <w:r>
        <w:t xml:space="preserve"> </w:t>
      </w:r>
      <w:r>
        <w:t xml:space="preserve">FundAdmin (AIF) + SPV, full ESOP, Fundraising compliance/closing automation, Valuation workflows, full Governance, Services marketplace, Managed Admin, CLM, Team, payments/accounting integrations.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Phase 3:</w:t>
      </w:r>
      <w:r>
        <w:t xml:space="preserve"> </w:t>
      </w:r>
      <w:r>
        <w:t xml:space="preserve">Secondaries, AI drafting/review, custom &amp; analytics workflows, public API/webhooks, deeper portal, multi-language.</w:t>
      </w:r>
    </w:p>
    <w:p>
      <w:pPr>
        <w:pStyle w:val="FirstParagraph"/>
      </w:pPr>
      <w:r>
        <w:t xml:space="preserve">Non-functional requirements (NFR-1..11) are satisfied by §6 (data/multi-tenancy/ledger), §10 (security/privacy/residency/audit), §11 (availability/deployment), and §12 (cross-cutting).</w:t>
      </w:r>
    </w:p>
    <w:p>
      <w:r>
        <w:pict>
          <v:rect style="width:0;height:1.5pt" o:hralign="center" o:hrstd="t" o:hr="t"/>
        </w:pict>
      </w:r>
    </w:p>
    <w:bookmarkEnd w:id="42"/>
    <w:bookmarkStart w:id="43" w:name="Xe1068b0c1fdc25d8d1f71e8c3e1c59115dc2dee"/>
    <w:p>
      <w:pPr>
        <w:pStyle w:val="Heading2"/>
      </w:pPr>
      <w:r>
        <w:t xml:space="preserve">15. Risks &amp; Open Issues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Regulatory accuracy &amp; change velocity</w:t>
      </w:r>
      <w:r>
        <w:t xml:space="preserve"> </w:t>
      </w:r>
      <w:r>
        <w:t xml:space="preserve">— mitigated by rules-as-data + professional review gates; needs ongoing legal maintenance.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Integration availability</w:t>
      </w:r>
      <w:r>
        <w:t xml:space="preserve"> </w:t>
      </w:r>
      <w:r>
        <w:t xml:space="preserve">(MCA21/FIRMS lack clean APIs) — mitigated by assisted/export model; partner network for filing.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Cross-tenant data sharing</w:t>
      </w:r>
      <w:r>
        <w:t xml:space="preserve"> </w:t>
      </w:r>
      <w:r>
        <w:t xml:space="preserve">(fund ↔ portco) — consent model must be airtight; privacy/legal sign-off required.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Cap-table/waterfall correctness</w:t>
      </w:r>
      <w:r>
        <w:t xml:space="preserve"> </w:t>
      </w:r>
      <w:r>
        <w:t xml:space="preserve">— high-stakes math; requires extensive test suites and reconciliation against known scenarios.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 breadth (20 modules)</w:t>
      </w:r>
      <w:r>
        <w:t xml:space="preserve"> </w:t>
      </w:r>
      <w:r>
        <w:t xml:space="preserve">— phased delivery; resist building Phase 2/3 modules before the core is proven.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Servicing vs SaaS positioning</w:t>
      </w:r>
      <w:r>
        <w:t xml:space="preserve"> </w:t>
      </w:r>
      <w:r>
        <w:t xml:space="preserve">— open product decision (see</w:t>
      </w:r>
      <w:r>
        <w:t xml:space="preserve"> </w:t>
      </w:r>
      <w:r>
        <w:rPr>
          <w:rStyle w:val="VerbatimChar"/>
        </w:rPr>
        <w:t xml:space="preserve">REQUIREMENTS.md §10</w:t>
      </w:r>
      <w:r>
        <w:t xml:space="preserve">); affects how much of P/O is built early.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Companion document: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REQUIREMENTS.md</w:t>
      </w:r>
      <w:r>
        <w:rPr>
          <w:i/>
          <w:iCs/>
        </w:rPr>
        <w:t xml:space="preserve"> </w:t>
      </w:r>
      <w:r>
        <w:rPr>
          <w:i/>
          <w:iCs/>
        </w:rPr>
        <w:t xml:space="preserve">for full functional/non-functional requirements and the conceptual data model.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learn.paperos.com/" TargetMode="External" /><Relationship Type="http://schemas.openxmlformats.org/officeDocument/2006/relationships/hyperlink" Id="rId12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learn.paperos.com/" TargetMode="External" /><Relationship Type="http://schemas.openxmlformats.org/officeDocument/2006/relationships/hyperlink" Id="rId12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High-Level Design (HLD)</dc:title>
  <dc:creator/>
  <cp:keywords/>
  <dcterms:created xsi:type="dcterms:W3CDTF">2026-06-26T02:37:16Z</dcterms:created>
  <dcterms:modified xsi:type="dcterms:W3CDTF">2026-06-26T02:37:16Z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