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Fund-first workspace (fund side)</w:t>
      </w:r>
      <w:r>
        <w:t xml:space="preserve"> </w:t>
      </w:r>
      <w:r>
        <w:t xml:space="preserve">✅ — a fund entity no longer wears the startup workspace. (1)</w:t>
      </w:r>
      <w:r>
        <w:t xml:space="preserve"> </w:t>
      </w:r>
      <w:r>
        <w:rPr>
          <w:b/>
          <w:bCs/>
        </w:rPr>
        <w:t xml:space="preserve">Fund dashboard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FundDashboard</w:t>
      </w:r>
      <w:r>
        <w:t xml:space="preserve"> </w:t>
      </w:r>
      <w:r>
        <w:t xml:space="preserve">replaces the cap-table dashboard for</w:t>
      </w:r>
      <w:r>
        <w:t xml:space="preserve"> </w:t>
      </w:r>
      <w:r>
        <w:rPr>
          <w:rStyle w:val="VerbatimChar"/>
        </w:rPr>
        <w:t xml:space="preserve">type == fund</w:t>
      </w:r>
      <w:r>
        <w:t xml:space="preserve"> </w:t>
      </w:r>
      <w:r>
        <w:t xml:space="preserve">— SEBI category + carry/hurdle/fee, committed/drawn/uncalled/distributed, NAV/TVPI/DPI, LP + portfolio-company counts, an overdue-compliance nudge and "Manage the fund" quick links (the</w:t>
      </w:r>
      <w:r>
        <w:t xml:space="preserve"> </w:t>
      </w:r>
      <w:r>
        <w:rPr>
          <w:rStyle w:val="VerbatimChar"/>
        </w:rPr>
        <w:t xml:space="preserve">entity_dashboard</w:t>
      </w:r>
      <w:r>
        <w:t xml:space="preserve"> </w:t>
      </w:r>
      <w:r>
        <w:t xml:space="preserve">fund block was enriched with performance, terms, uncalled/distributed and portfolio count). No more "Shares issued 0 / Grant options / price ESOP grants" prompts for a fund. (2)</w:t>
      </w:r>
      <w:r>
        <w:t xml:space="preserve"> </w:t>
      </w:r>
      <w:r>
        <w:rPr>
          <w:b/>
          <w:bCs/>
        </w:rPr>
        <w:t xml:space="preserve">Promoted fund tabs</w:t>
      </w:r>
      <w:r>
        <w:t xml:space="preserve">: the six Fund sub-tabs are now primary workspace tabs (Capital &amp; LPs · LP fundraise · Portfolio · Monitoring · Deal pipeline · Plan &amp; forecast · Financials) under a "Fund" group, instead of nesting inside one tab of the company nav 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hideSubtabs</w:t>
      </w:r>
      <w:r>
        <w:t xml:space="preserve">; new tab scope</w:t>
      </w:r>
      <w:r>
        <w:t xml:space="preserve"> </w:t>
      </w:r>
      <w:r>
        <w:rPr>
          <w:rStyle w:val="VerbatimChar"/>
        </w:rPr>
        <w:t xml:space="preserve">fundonly</w:t>
      </w:r>
      <w:r>
        <w:t xml:space="preserve">). (3)</w:t>
      </w:r>
      <w:r>
        <w:t xml:space="preserve"> </w:t>
      </w:r>
      <w:r>
        <w:rPr>
          <w:b/>
          <w:bCs/>
        </w:rPr>
        <w:t xml:space="preserve">Trimmed nav</w:t>
      </w:r>
      <w:r>
        <w:t xml:space="preserve">: Cap Table and Valuations are now company-scoped, so the Ownership group disappears for funds. (4)</w:t>
      </w:r>
      <w:r>
        <w:t xml:space="preserve"> </w:t>
      </w:r>
      <w:r>
        <w:rPr>
          <w:b/>
          <w:bCs/>
        </w:rPr>
        <w:t xml:space="preserve">Portfolio split</w:t>
      </w:r>
      <w:r>
        <w:t xml:space="preserve">: the ~10-section Portfolio page splits into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(signals, holdings, Schedule of Investments, independent valuation)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(KPIs, benchmarks, alerts, KPI scheduling, DDQ). Legacy</w:t>
      </w:r>
      <w:r>
        <w:t xml:space="preserve"> </w:t>
      </w:r>
      <w:r>
        <w:rPr>
          <w:rStyle w:val="VerbatimChar"/>
        </w:rPr>
        <w:t xml:space="preserve">?tab=fund[&amp;sub=]</w:t>
      </w:r>
      <w:r>
        <w:t xml:space="preserve"> </w:t>
      </w:r>
      <w:r>
        <w:t xml:space="preserve">deep links redirect to the promoted tabs.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Workspace / entity teardown (destructive, guarded)</w:t>
      </w:r>
      <w:r>
        <w:t xml:space="preserve"> </w:t>
      </w:r>
      <w:r>
        <w:t xml:space="preserve">✅ — a founder can now delete a workspace or an individual entity and everything that hangs off it.</w:t>
      </w:r>
      <w:r>
        <w:t xml:space="preserve"> </w:t>
      </w:r>
      <w:r>
        <w:rPr>
          <w:rStyle w:val="VerbatimChar"/>
        </w:rPr>
        <w:t xml:space="preserve">services/teardown.py</w:t>
      </w:r>
      <w:r>
        <w:t xml:space="preserve"> </w:t>
      </w:r>
      <w:r>
        <w:t xml:space="preserve">walks the foreign-key graph from a root row (a</w:t>
      </w:r>
      <w:r>
        <w:t xml:space="preserve"> </w:t>
      </w:r>
      <w:r>
        <w:rPr>
          <w:rStyle w:val="VerbatimChar"/>
        </w:rPr>
        <w:t xml:space="preserve">legal_entity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) and deletes the transitive closure of rows that reference it — so indirectly-owned records (an ESOP grant off a stakeholder, a round commitment, a drawdown notice) go too, with no hard-coded table list. The same closure powers a dry-run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(row counts per area). Endpoints:</w:t>
      </w:r>
      <w:r>
        <w:t xml:space="preserve"> </w:t>
      </w:r>
      <w:r>
        <w:rPr>
          <w:rStyle w:val="VerbatimChar"/>
        </w:rPr>
        <w:t xml:space="preserve">GET/POST /entities/{id}/teardown[-preview]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/tenants/{id}/teardown[-preview]</w:t>
      </w:r>
      <w:r>
        <w:t xml:space="preserve">.</w:t>
      </w:r>
      <w:r>
        <w:t xml:space="preserve"> </w:t>
      </w:r>
      <w:r>
        <w:rPr>
          <w:b/>
          <w:bCs/>
        </w:rPr>
        <w:t xml:space="preserve">Guards:</w:t>
      </w:r>
      <w:r>
        <w:t xml:space="preserve"> </w:t>
      </w:r>
      <w:r>
        <w:t xml:space="preserve">owner-only (403 otherwise) and a type-to-confirm — the request body must echo the exact name (400 on mismatch). Frontend</w:t>
      </w:r>
      <w:r>
        <w:t xml:space="preserve"> </w:t>
      </w:r>
      <w:r>
        <w:rPr>
          <w:rStyle w:val="VerbatimChar"/>
        </w:rPr>
        <w:t xml:space="preserve">TeardownDialog</w:t>
      </w:r>
      <w:r>
        <w:t xml:space="preserve"> </w:t>
      </w:r>
      <w:r>
        <w:t xml:space="preserve">shows the preview breakdown and only enables the destructive button once the user types the name; wired into the Workspaces list and the Entities list. The safe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stays as a quick primitive. 3 tests (</w:t>
      </w:r>
      <w:r>
        <w:rPr>
          <w:rStyle w:val="VerbatimChar"/>
        </w:rPr>
        <w:t xml:space="preserve">test_teardown.py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2026-07-21T17:07:52Z</dcterms:created>
  <dcterms:modified xsi:type="dcterms:W3CDTF">2026-07-21T17:07:52Z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