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rFonts w:ascii="Calibri" w:cs="Calibri" w:eastAsia="Calibri" w:hAnsi="Calibri"/>
          <w:b/>
          <w:bCs/>
          <w:color w:val="0A7A56"/>
          <w:spacing w:val="80"/>
          <w:sz w:val="28"/>
          <w:szCs w:val="28"/>
        </w:rPr>
        <w:t xml:space="preserve">PAPER</w:t>
      </w:r>
    </w:p>
    <w:p>
      <w:pPr>
        <w:pBdr>
          <w:bottom w:val="single" w:color="0F9D6B" w:sz="10"/>
        </w:pBdr>
        <w:spacing w:after="0" w:before="40"/>
      </w:pPr>
    </w:p>
    <w:p>
      <w:pPr>
        <w:spacing w:after="0" w:before="260"/>
      </w:pPr>
      <w:r>
        <w:rPr>
          <w:rFonts w:ascii="Calibri" w:cs="Calibri" w:eastAsia="Calibri" w:hAnsi="Calibri"/>
          <w:b/>
          <w:bCs/>
          <w:color w:val="0C2A20"/>
          <w:sz w:val="56"/>
          <w:szCs w:val="56"/>
        </w:rPr>
        <w:t xml:space="preserve">Fund Manager's Guide</w:t>
      </w:r>
    </w:p>
    <w:p>
      <w:pPr>
        <w:spacing w:after="0" w:before="60"/>
      </w:pPr>
      <w:r>
        <w:rPr>
          <w:rFonts w:ascii="Calibri" w:cs="Calibri" w:eastAsia="Calibri" w:hAnsi="Calibri"/>
          <w:i/>
          <w:iCs/>
          <w:color w:val="5C6B63"/>
          <w:sz w:val="25"/>
          <w:szCs w:val="25"/>
        </w:rPr>
        <w:t xml:space="preserve">Run your SEBI AIF end to end — from first close to distributions</w:t>
      </w:r>
    </w:p>
    <w:p>
      <w:pPr>
        <w:spacing w:after="0" w:before="900"/>
      </w:pPr>
      <w:r>
        <w:rPr>
          <w:rFonts w:ascii="Calibri" w:cs="Calibri" w:eastAsia="Calibri" w:hAnsi="Calibri"/>
          <w:color w:val="3A463F"/>
          <w:sz w:val="22"/>
          <w:szCs w:val="22"/>
        </w:rPr>
        <w:t xml:space="preserve">A practical walkthrough for GPs and fund operators: forming the fund, raising from LPs, deploying capital, monitoring the portfolio, reporting to investors and staying SEBI-compliant — organised around the fund's lifecycle.</w:t>
      </w:r>
    </w:p>
    <w:p>
      <w:pPr>
        <w:spacing w:after="0" w:before="1400"/>
      </w:pPr>
      <w:r>
        <w:rPr>
          <w:rFonts w:ascii="Calibri" w:cs="Calibri" w:eastAsia="Calibri" w:hAnsi="Calibri"/>
          <w:color w:val="5C6B63"/>
          <w:sz w:val="18"/>
          <w:szCs w:val="18"/>
        </w:rPr>
        <w:t xml:space="preserve">Paper — the OS for corporate legal</w:t>
      </w:r>
    </w:p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C2A20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C2A20"/>
          <w:sz w:val="30"/>
          <w:szCs w:val="30"/>
        </w:rPr>
        <w:t xml:space="preserve">1. Welcome — Paper for fund managers</w:t>
      </w:r>
    </w:p>
    <w:p>
      <w:pPr>
        <w:spacing w:after="140" w:line="288"/>
      </w:pPr>
      <w:r>
        <w:rPr>
          <w:rFonts w:ascii="Calibri" w:cs="Calibri" w:eastAsia="Calibri" w:hAnsi="Calibri"/>
        </w:rPr>
        <w:t xml:space="preserve">Paper gives a GP a single workspace to run a SEBI-registered AIF: your LPs and their capital accounts, your deal pipeline, your portfolio holdings and their performance, LP reporting, and your SEBI/MCA compliance — all in one place, with your LPs getting their own read-only portal.</w:t>
      </w:r>
    </w:p>
    <w:p>
      <w:pPr>
        <w:spacing w:after="140" w:line="288"/>
      </w:pPr>
      <w:r>
        <w:rPr>
          <w:rFonts w:ascii="Calibri" w:cs="Calibri" w:eastAsia="Calibri" w:hAnsi="Calibri"/>
        </w:rPr>
        <w:t xml:space="preserve">This guide follows the natural lifecycle of a fund — form it, raise it, deploy it, manage and report on it, and harvest it — and shows exactly where each step lives in Paper. It's written for a first-time fund operator, but works just as well as a reference for an established firm.</w:t>
      </w:r>
    </w:p>
    <w:tbl>
      <w:tblPr>
        <w:tblW w:type="dxa" w:w="9360"/>
        <w:tblBorders>
          <w:top w:val="single" w:color="E8F2EC" w:sz="2"/>
          <w:left w:val="single" w:color="0F9D6B" w:sz="24"/>
          <w:bottom w:val="single" w:color="E8F2EC" w:sz="2"/>
          <w:right w:val="single" w:color="E8F2E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2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0A7A56"/>
              </w:rPr>
              <w:t xml:space="preserve">Note:  </w:t>
            </w:r>
            <w:r>
              <w:rPr>
                <w:rFonts w:ascii="Calibri" w:cs="Calibri" w:eastAsia="Calibri" w:hAnsi="Calibri"/>
                <w:color w:val="0C2A20"/>
              </w:rPr>
              <w:t xml:space="preserve">Fund workspaces open on a fund-first dashboard — commitments, NAV, TVPI and DPI up top — not the startup cap-table view. Everything below assumes you've created a workspace of type Fund.</w:t>
            </w:r>
          </w:p>
        </w:tc>
      </w:tr>
    </w:tbl>
    <w:p>
      <w:pPr>
        <w:spacing w:after="40" w:before="60"/>
        <w:jc w:val="center"/>
      </w:pPr>
      <w:r>
        <w:drawing>
          <wp:inline distT="0" distB="0" distL="0" distR="0">
            <wp:extent cx="58102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C6B63"/>
          <w:sz w:val="17"/>
          <w:szCs w:val="17"/>
        </w:rPr>
        <w:t xml:space="preserve">The fund dashboard — commitments, NAV, TVPI and DPI at a glance, with quick links into every part of the fund.</w:t>
      </w:r>
    </w:p>
    <w:p>
      <w:pPr>
        <w:spacing w:after="80"/>
      </w:pP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C2A20"/>
          <w:sz w:val="30"/>
          <w:szCs w:val="30"/>
        </w:rPr>
        <w:t xml:space="preserve">2. Set up your fund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A7A56"/>
          <w:sz w:val="24"/>
          <w:szCs w:val="24"/>
        </w:rPr>
        <w:t xml:space="preserve">Create the fund workspace</w:t>
      </w:r>
    </w:p>
    <w:p>
      <w:pPr>
        <w:spacing w:after="140" w:line="288"/>
      </w:pPr>
      <w:r>
        <w:rPr>
          <w:rFonts w:ascii="Calibri" w:cs="Calibri" w:eastAsia="Calibri" w:hAnsi="Calibri"/>
        </w:rPr>
        <w:t xml:space="preserve">From the Home screen choose New workspace, name it (e.g. “Nimbus Ventures Fund I”) and pick the type Fund. Opening it takes you straight to the fund dashboard.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A7A56"/>
          <w:sz w:val="24"/>
          <w:szCs w:val="24"/>
        </w:rPr>
        <w:t xml:space="preserve">Set the fund profile</w:t>
      </w:r>
    </w:p>
    <w:p>
      <w:pPr>
        <w:spacing w:after="140" w:line="288"/>
      </w:pPr>
      <w:r>
        <w:rPr>
          <w:rFonts w:ascii="Calibri" w:cs="Calibri" w:eastAsia="Calibri" w:hAnsi="Calibri"/>
        </w:rPr>
        <w:t xml:space="preserve">Record the fund's economics once and Paper uses them everywhere — in fee accruals, the distribution waterfall and the compliance calendar:</w:t>
      </w:r>
    </w:p>
    <w:tbl>
      <w:tblPr>
        <w:tblW w:type="dxa" w:w="9360"/>
        <w:tblBorders>
          <w:top w:val="single" w:color="D8E2DB" w:sz="2"/>
          <w:left w:val="none"/>
          <w:bottom w:val="single" w:color="D8E2DB" w:sz="2"/>
          <w:right w:val="none"/>
          <w:insideH w:val="single" w:color="D8E2DB" w:sz="2"/>
          <w:insideV w:val="single" w:color="D8E2DB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C2A2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Fund setting</w:t>
            </w:r>
          </w:p>
        </w:tc>
        <w:tc>
          <w:tcPr>
            <w:tcW w:type="dxa" w:w="6760"/>
            <w:shd w:fill="0C2A2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drives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C2A20"/>
                <w:sz w:val="19"/>
                <w:szCs w:val="19"/>
              </w:rPr>
              <w:t xml:space="preserve">SEBI AIF category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C2A20"/>
                <w:sz w:val="19"/>
                <w:szCs w:val="19"/>
              </w:rPr>
              <w:t xml:space="preserve">Category I / II / III — sets the compliance calendar and tax treatment.</w:t>
            </w:r>
          </w:p>
        </w:tc>
      </w:tr>
      <w:tr>
        <w:trPr>
          <w:tblHeader w:val="false"/>
        </w:trPr>
        <w:tc>
          <w:tcPr>
            <w:tcW w:type="dxa" w:w="2600"/>
            <w:shd w:fill="F1F6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C2A20"/>
                <w:sz w:val="19"/>
                <w:szCs w:val="19"/>
              </w:rPr>
              <w:t xml:space="preserve">Carry (carried interest)</w:t>
            </w:r>
          </w:p>
        </w:tc>
        <w:tc>
          <w:tcPr>
            <w:tcW w:type="dxa" w:w="6760"/>
            <w:shd w:fill="F1F6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C2A20"/>
                <w:sz w:val="19"/>
                <w:szCs w:val="19"/>
              </w:rPr>
              <w:t xml:space="preserve">The GP's profit share above the hurdle, used in the distribution waterfall.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C2A20"/>
                <w:sz w:val="19"/>
                <w:szCs w:val="19"/>
              </w:rPr>
              <w:t xml:space="preserve">Hurdle rate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C2A20"/>
                <w:sz w:val="19"/>
                <w:szCs w:val="19"/>
              </w:rPr>
              <w:t xml:space="preserve">The preferred return LPs earn before carry kicks in.</w:t>
            </w:r>
          </w:p>
        </w:tc>
      </w:tr>
      <w:tr>
        <w:trPr>
          <w:tblHeader w:val="false"/>
        </w:trPr>
        <w:tc>
          <w:tcPr>
            <w:tcW w:type="dxa" w:w="2600"/>
            <w:shd w:fill="F1F6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C2A20"/>
                <w:sz w:val="19"/>
                <w:szCs w:val="19"/>
              </w:rPr>
              <w:t xml:space="preserve">Management fee</w:t>
            </w:r>
          </w:p>
        </w:tc>
        <w:tc>
          <w:tcPr>
            <w:tcW w:type="dxa" w:w="6760"/>
            <w:shd w:fill="F1F6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C2A20"/>
                <w:sz w:val="19"/>
                <w:szCs w:val="19"/>
              </w:rPr>
              <w:t xml:space="preserve">Annual fee on committed (or drawn) capital — accrued and charged to capital accounts.</w:t>
            </w:r>
          </w:p>
        </w:tc>
      </w:tr>
    </w:tbl>
    <w:p>
      <w:pPr>
        <w:spacing w:after="80"/>
      </w:pP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A7A56"/>
          <w:sz w:val="24"/>
          <w:szCs w:val="24"/>
        </w:rPr>
        <w:t xml:space="preserve">Find your way around</w:t>
      </w:r>
    </w:p>
    <w:p>
      <w:pPr>
        <w:spacing w:after="140" w:line="288"/>
      </w:pPr>
      <w:r>
        <w:rPr>
          <w:rFonts w:ascii="Calibri" w:cs="Calibri" w:eastAsia="Calibri" w:hAnsi="Calibri"/>
        </w:rPr>
        <w:t xml:space="preserve">A fund workspace groups its tools along the top. The three fund-specific groups are the ones you'll live in: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Calibri" w:cs="Calibri" w:eastAsia="Calibri" w:hAnsi="Calibri"/>
          <w:b/>
          <w:bCs/>
          <w:color w:val="0C2A20"/>
        </w:rPr>
        <w:t xml:space="preserve">Fund management — </w:t>
      </w:r>
      <w:r>
        <w:rPr>
          <w:rFonts w:ascii="Calibri" w:cs="Calibri" w:eastAsia="Calibri" w:hAnsi="Calibri"/>
        </w:rPr>
        <w:t xml:space="preserve">the fund vehicle and LP relations — Capital &amp; LPs, LP fundraise, Plan &amp; forecast, Financials and LP updates.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Calibri" w:cs="Calibri" w:eastAsia="Calibri" w:hAnsi="Calibri"/>
          <w:b/>
          <w:bCs/>
          <w:color w:val="0C2A20"/>
        </w:rPr>
        <w:t xml:space="preserve">Portfolio — </w:t>
      </w:r>
      <w:r>
        <w:rPr>
          <w:rFonts w:ascii="Calibri" w:cs="Calibri" w:eastAsia="Calibri" w:hAnsi="Calibri"/>
        </w:rPr>
        <w:t xml:space="preserve">sourcing and holdings — Deal pipeline and Holdings.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Calibri" w:cs="Calibri" w:eastAsia="Calibri" w:hAnsi="Calibri"/>
          <w:b/>
          <w:bCs/>
          <w:color w:val="0C2A20"/>
        </w:rPr>
        <w:t xml:space="preserve">Monitoring — </w:t>
      </w:r>
      <w:r>
        <w:rPr>
          <w:rFonts w:ascii="Calibri" w:cs="Calibri" w:eastAsia="Calibri" w:hAnsi="Calibri"/>
        </w:rPr>
        <w:t xml:space="preserve">portfolio-company performance — KPIs, signals, tear sheets and benchmarking.</w:t>
      </w:r>
    </w:p>
    <w:p>
      <w:pPr>
        <w:spacing w:after="140" w:line="288"/>
      </w:pPr>
      <w:r>
        <w:rPr>
          <w:rFonts w:ascii="Calibri" w:cs="Calibri" w:eastAsia="Calibri" w:hAnsi="Calibri"/>
        </w:rPr>
        <w:t xml:space="preserve">Governance, Operations and Partners round out board/compliance, documents and service providers. Press Ctrl/⌘ + K anywhere to jump straight to any of them.</w:t>
      </w:r>
    </w:p>
    <w:p>
      <w:pPr>
        <w:spacing w:after="80"/>
      </w:pP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C2A20"/>
          <w:sz w:val="30"/>
          <w:szCs w:val="30"/>
        </w:rPr>
        <w:t xml:space="preserve">3. Raise the fund</w:t>
      </w:r>
    </w:p>
    <w:p>
      <w:pPr>
        <w:spacing w:after="140" w:line="288"/>
      </w:pPr>
      <w:r>
        <w:rPr>
          <w:rFonts w:ascii="Calibri" w:cs="Calibri" w:eastAsia="Calibri" w:hAnsi="Calibri"/>
        </w:rPr>
        <w:t xml:space="preserve">Fundraising in Paper is a CRM built for LPs. Work in Fund management → LP fundraise.</w:t>
      </w:r>
    </w:p>
    <w:p>
      <w:pPr>
        <w:pStyle w:val="ListParagraph"/>
        <w:numPr>
          <w:ilvl w:val="0"/>
          <w:numId w:val="3"/>
        </w:numPr>
        <w:spacing w:after="80" w:line="282"/>
      </w:pPr>
      <w:r>
        <w:rPr>
          <w:rFonts w:ascii="Calibri" w:cs="Calibri" w:eastAsia="Calibri" w:hAnsi="Calibri"/>
        </w:rPr>
        <w:t xml:space="preserve">Add prospective LPs and move them along a pipeline from first contact to a signed commitment.</w:t>
      </w:r>
    </w:p>
    <w:p>
      <w:pPr>
        <w:pStyle w:val="ListParagraph"/>
        <w:numPr>
          <w:ilvl w:val="0"/>
          <w:numId w:val="3"/>
        </w:numPr>
        <w:spacing w:after="80" w:line="282"/>
      </w:pPr>
      <w:r>
        <w:rPr>
          <w:rFonts w:ascii="Calibri" w:cs="Calibri" w:eastAsia="Calibri" w:hAnsi="Calibri"/>
        </w:rPr>
        <w:t xml:space="preserve">Log interactions and follow-ups, and track relationship strength so nothing goes cold.</w:t>
      </w:r>
    </w:p>
    <w:p>
      <w:pPr>
        <w:pStyle w:val="ListParagraph"/>
        <w:numPr>
          <w:ilvl w:val="0"/>
          <w:numId w:val="3"/>
        </w:numPr>
        <w:spacing w:after="80" w:line="282"/>
      </w:pPr>
      <w:r>
        <w:rPr>
          <w:rFonts w:ascii="Calibri" w:cs="Calibri" w:eastAsia="Calibri" w:hAnsi="Calibri"/>
        </w:rPr>
        <w:t xml:space="preserve">When an LP commits, record the commitment — it flows into the fund's committed capital and their capital account.</w:t>
      </w:r>
    </w:p>
    <w:p>
      <w:pPr>
        <w:spacing w:after="40" w:before="60"/>
        <w:jc w:val="center"/>
      </w:pPr>
      <w:r>
        <w:drawing>
          <wp:inline distT="0" distB="0" distL="0" distR="0">
            <wp:extent cx="58102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C6B63"/>
          <w:sz w:val="17"/>
          <w:szCs w:val="17"/>
        </w:rPr>
        <w:t xml:space="preserve">The LP fundraise pipeline — track prospective investors from first contact to a committed cheque.</w:t>
      </w:r>
    </w:p>
    <w:tbl>
      <w:tblPr>
        <w:tblW w:type="dxa" w:w="9360"/>
        <w:tblBorders>
          <w:top w:val="single" w:color="E8F2EC" w:sz="2"/>
          <w:left w:val="single" w:color="0F9D6B" w:sz="24"/>
          <w:bottom w:val="single" w:color="E8F2EC" w:sz="2"/>
          <w:right w:val="single" w:color="E8F2E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2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0A7A56"/>
              </w:rPr>
              <w:t xml:space="preserve">Tip:  </w:t>
            </w:r>
            <w:r>
              <w:rPr>
                <w:rFonts w:ascii="Calibri" w:cs="Calibri" w:eastAsia="Calibri" w:hAnsi="Calibri"/>
                <w:color w:val="0C2A20"/>
              </w:rPr>
              <w:t xml:space="preserve">Stale-deal and follow-up reminders keep your pipeline honest — the fund will surface LPs (and deals) that have gone quiet.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C2A20"/>
          <w:sz w:val="30"/>
          <w:szCs w:val="30"/>
        </w:rPr>
        <w:t xml:space="preserve">4. Onboard LPs and manage capital</w:t>
      </w:r>
    </w:p>
    <w:p>
      <w:pPr>
        <w:spacing w:after="140" w:line="288"/>
      </w:pPr>
      <w:r>
        <w:rPr>
          <w:rFonts w:ascii="Calibri" w:cs="Calibri" w:eastAsia="Calibri" w:hAnsi="Calibri"/>
        </w:rPr>
        <w:t xml:space="preserve">Fund management → Capital &amp; LPs is the heart of fund administration. It holds every LP, their capital account, and the fund's headline performance.</w:t>
      </w:r>
    </w:p>
    <w:p>
      <w:pPr>
        <w:spacing w:after="40" w:before="60"/>
        <w:jc w:val="center"/>
      </w:pPr>
      <w:r>
        <w:drawing>
          <wp:inline distT="0" distB="0" distL="0" distR="0">
            <wp:extent cx="58102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C6B63"/>
          <w:sz w:val="17"/>
          <w:szCs w:val="17"/>
        </w:rPr>
        <w:t xml:space="preserve">Capital &amp; LPs — commitments, drawn and uncalled capital, unitised NAV and per-LP capital accounts.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Calibri" w:cs="Calibri" w:eastAsia="Calibri" w:hAnsi="Calibri"/>
          <w:b/>
          <w:bCs/>
          <w:color w:val="0C2A20"/>
        </w:rPr>
        <w:t xml:space="preserve">Capital calls — </w:t>
      </w:r>
      <w:r>
        <w:rPr>
          <w:rFonts w:ascii="Calibri" w:cs="Calibri" w:eastAsia="Calibri" w:hAnsi="Calibri"/>
        </w:rPr>
        <w:t xml:space="preserve">issue drawdown (capital-call) notices to LPs; each call updates their capital account and the fund's drawn/uncalled figures.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Calibri" w:cs="Calibri" w:eastAsia="Calibri" w:hAnsi="Calibri"/>
          <w:b/>
          <w:bCs/>
          <w:color w:val="0C2A20"/>
        </w:rPr>
        <w:t xml:space="preserve">Unitised NAV — </w:t>
      </w:r>
      <w:r>
        <w:rPr>
          <w:rFonts w:ascii="Calibri" w:cs="Calibri" w:eastAsia="Calibri" w:hAnsi="Calibri"/>
        </w:rPr>
        <w:t xml:space="preserve">the fund is unitised — LPs hold units and Paper tracks NAV per unit, so each LP's position is always current.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Calibri" w:cs="Calibri" w:eastAsia="Calibri" w:hAnsi="Calibri"/>
          <w:b/>
          <w:bCs/>
          <w:color w:val="0C2A20"/>
        </w:rPr>
        <w:t xml:space="preserve">Management fee — </w:t>
      </w:r>
      <w:r>
        <w:rPr>
          <w:rFonts w:ascii="Calibri" w:cs="Calibri" w:eastAsia="Calibri" w:hAnsi="Calibri"/>
        </w:rPr>
        <w:t xml:space="preserve">the management fee accrues automatically on committed capital; charge it into the capital accounts with one click.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Calibri" w:cs="Calibri" w:eastAsia="Calibri" w:hAnsi="Calibri"/>
          <w:b/>
          <w:bCs/>
          <w:color w:val="0C2A20"/>
        </w:rPr>
        <w:t xml:space="preserve">Distributions — </w:t>
      </w:r>
      <w:r>
        <w:rPr>
          <w:rFonts w:ascii="Calibri" w:cs="Calibri" w:eastAsia="Calibri" w:hAnsi="Calibri"/>
        </w:rPr>
        <w:t xml:space="preserve">record distributions and let Paper run the waterfall — return of capital, the LP preferred return (hurdle), GP catch-up and carry.</w:t>
      </w:r>
    </w:p>
    <w:p>
      <w:pPr>
        <w:spacing w:after="80"/>
      </w:pP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C2A20"/>
          <w:sz w:val="30"/>
          <w:szCs w:val="30"/>
        </w:rPr>
        <w:t xml:space="preserve">5. Source deals and invest</w:t>
      </w:r>
    </w:p>
    <w:p>
      <w:pPr>
        <w:spacing w:after="140" w:line="288"/>
      </w:pPr>
      <w:r>
        <w:rPr>
          <w:rFonts w:ascii="Calibri" w:cs="Calibri" w:eastAsia="Calibri" w:hAnsi="Calibri"/>
        </w:rPr>
        <w:t xml:space="preserve">Portfolio → Deal pipeline is a deal CRM with a kanban board (sourced → screening → diligence → IC → term sheet). Add deals with the sector, cheque size and who referred them, track sources, and import an existing pipeline from CSV.</w:t>
      </w:r>
    </w:p>
    <w:p>
      <w:pPr>
        <w:spacing w:after="40" w:before="60"/>
        <w:jc w:val="center"/>
      </w:pPr>
      <w:r>
        <w:drawing>
          <wp:inline distT="0" distB="0" distL="0" distR="0">
            <wp:extent cx="58102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C6B63"/>
          <w:sz w:val="17"/>
          <w:szCs w:val="17"/>
        </w:rPr>
        <w:t xml:space="preserve">The deal pipeline — a kanban board from sourced to term sheet, above the fund's live performance metrics.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A7A56"/>
          <w:sz w:val="24"/>
          <w:szCs w:val="24"/>
        </w:rPr>
        <w:t xml:space="preserve">Record holdings and link to the company</w:t>
      </w:r>
    </w:p>
    <w:p>
      <w:pPr>
        <w:spacing w:after="140" w:line="288"/>
      </w:pPr>
      <w:r>
        <w:rPr>
          <w:rFonts w:ascii="Calibri" w:cs="Calibri" w:eastAsia="Calibri" w:hAnsi="Calibri"/>
        </w:rPr>
        <w:t xml:space="preserve">When you invest, record the holding under Portfolio → Holdings. If the portfolio company also uses Paper, link the holding to its workspace — then you can pull its latest financials straight into your monitoring, with no re-keying.</w:t>
      </w:r>
    </w:p>
    <w:tbl>
      <w:tblPr>
        <w:tblW w:type="dxa" w:w="9360"/>
        <w:tblBorders>
          <w:top w:val="single" w:color="E8F2EC" w:sz="2"/>
          <w:left w:val="single" w:color="0F9D6B" w:sz="24"/>
          <w:bottom w:val="single" w:color="E8F2EC" w:sz="2"/>
          <w:right w:val="single" w:color="E8F2E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2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0A7A56"/>
              </w:rPr>
              <w:t xml:space="preserve">Why the link matters:  </w:t>
            </w:r>
            <w:r>
              <w:rPr>
                <w:rFonts w:ascii="Calibri" w:cs="Calibri" w:eastAsia="Calibri" w:hAnsi="Calibri"/>
                <w:color w:val="0C2A20"/>
              </w:rPr>
              <w:t xml:space="preserve">A linked holding turns founder-reported numbers into your monitoring data automatically — the seam between the startup and fund sides of Paper.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C2A20"/>
          <w:sz w:val="30"/>
          <w:szCs w:val="30"/>
        </w:rPr>
        <w:t xml:space="preserve">6. Monitor the portfolio</w:t>
      </w:r>
    </w:p>
    <w:p>
      <w:pPr>
        <w:spacing w:after="140" w:line="288"/>
      </w:pPr>
      <w:r>
        <w:rPr>
          <w:rFonts w:ascii="Calibri" w:cs="Calibri" w:eastAsia="Calibri" w:hAnsi="Calibri"/>
        </w:rPr>
        <w:t xml:space="preserve">Monitoring tracks how your companies are actually doing. Each company's operating KPIs (revenue, cash, burn, runway) are collected over time; companies under six months of runway are flagged.</w:t>
      </w:r>
    </w:p>
    <w:p>
      <w:pPr>
        <w:spacing w:after="40" w:before="60"/>
        <w:jc w:val="center"/>
      </w:pPr>
      <w:r>
        <w:drawing>
          <wp:inline distT="0" distB="0" distL="0" distR="0">
            <wp:extent cx="58102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C6B63"/>
          <w:sz w:val="17"/>
          <w:szCs w:val="17"/>
        </w:rPr>
        <w:t xml:space="preserve">Portfolio monitoring — operating KPIs, runway and health across the portfolio, with reporting status per company.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Calibri" w:cs="Calibri" w:eastAsia="Calibri" w:hAnsi="Calibri"/>
          <w:b/>
          <w:bCs/>
          <w:color w:val="0C2A20"/>
        </w:rPr>
        <w:t xml:space="preserve">Request KPIs — </w:t>
      </w:r>
      <w:r>
        <w:rPr>
          <w:rFonts w:ascii="Calibri" w:cs="Calibri" w:eastAsia="Calibri" w:hAnsi="Calibri"/>
        </w:rPr>
        <w:t xml:space="preserve">send a reporting request to a portfolio company; the founder submits figures from their own portal (or a no-login link).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Calibri" w:cs="Calibri" w:eastAsia="Calibri" w:hAnsi="Calibri"/>
          <w:b/>
          <w:bCs/>
          <w:color w:val="0C2A20"/>
        </w:rPr>
        <w:t xml:space="preserve">Custom metrics &amp; alerts — </w:t>
      </w:r>
      <w:r>
        <w:rPr>
          <w:rFonts w:ascii="Calibri" w:cs="Calibri" w:eastAsia="Calibri" w:hAnsi="Calibri"/>
        </w:rPr>
        <w:t xml:space="preserve">define your own metrics and ESG presets, and set alert thresholds that flag when a metric crosses a line.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Calibri" w:cs="Calibri" w:eastAsia="Calibri" w:hAnsi="Calibri"/>
          <w:b/>
          <w:bCs/>
          <w:color w:val="0C2A20"/>
        </w:rPr>
        <w:t xml:space="preserve">Signals — </w:t>
      </w:r>
      <w:r>
        <w:rPr>
          <w:rFonts w:ascii="Calibri" w:cs="Calibri" w:eastAsia="Calibri" w:hAnsi="Calibri"/>
        </w:rPr>
        <w:t xml:space="preserve">Paper surfaces early-warning risks and follow-on candidates from the numbers you're collecting.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Calibri" w:cs="Calibri" w:eastAsia="Calibri" w:hAnsi="Calibri"/>
          <w:b/>
          <w:bCs/>
          <w:color w:val="0C2A20"/>
        </w:rPr>
        <w:t xml:space="preserve">Tear sheets &amp; benchmarks — </w:t>
      </w:r>
      <w:r>
        <w:rPr>
          <w:rFonts w:ascii="Calibri" w:cs="Calibri" w:eastAsia="Calibri" w:hAnsi="Calibri"/>
        </w:rPr>
        <w:t xml:space="preserve">generate a one-page company tear sheet, and benchmark companies against portfolio medians.</w:t>
      </w:r>
    </w:p>
    <w:p>
      <w:pPr>
        <w:spacing w:after="80"/>
      </w:pP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C2A20"/>
          <w:sz w:val="30"/>
          <w:szCs w:val="30"/>
        </w:rPr>
        <w:t xml:space="preserve">7. Report to your LPs</w:t>
      </w:r>
    </w:p>
    <w:p>
      <w:pPr>
        <w:spacing w:after="140" w:line="288"/>
      </w:pPr>
      <w:r>
        <w:rPr>
          <w:rFonts w:ascii="Calibri" w:cs="Calibri" w:eastAsia="Calibri" w:hAnsi="Calibri"/>
        </w:rPr>
        <w:t xml:space="preserve">Great LP relations are a fundraising advantage. Paper gives your LPs a self-service portal and gives you a fast way to report.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Calibri" w:cs="Calibri" w:eastAsia="Calibri" w:hAnsi="Calibri"/>
          <w:b/>
          <w:bCs/>
          <w:color w:val="0C2A20"/>
        </w:rPr>
        <w:t xml:space="preserve">LP portal — </w:t>
      </w:r>
      <w:r>
        <w:rPr>
          <w:rFonts w:ascii="Calibri" w:cs="Calibri" w:eastAsia="Calibri" w:hAnsi="Calibri"/>
        </w:rPr>
        <w:t xml:space="preserve">every LP gets a read-only portal showing their commitment, capital account, units/NAV, documents and updates — and can view online capital-call notices.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Calibri" w:cs="Calibri" w:eastAsia="Calibri" w:hAnsi="Calibri"/>
          <w:b/>
          <w:bCs/>
          <w:color w:val="0C2A20"/>
        </w:rPr>
        <w:t xml:space="preserve">Updates &amp; reports — </w:t>
      </w:r>
      <w:r>
        <w:rPr>
          <w:rFonts w:ascii="Calibri" w:cs="Calibri" w:eastAsia="Calibri" w:hAnsi="Calibri"/>
        </w:rPr>
        <w:t xml:space="preserve">publish recurring LP updates and generate a quarterly LP report pack; capital-account statements are produced as documents.</w:t>
      </w:r>
    </w:p>
    <w:tbl>
      <w:tblPr>
        <w:tblW w:type="dxa" w:w="9360"/>
        <w:tblBorders>
          <w:top w:val="single" w:color="E8F2EC" w:sz="2"/>
          <w:left w:val="single" w:color="0F9D6B" w:sz="24"/>
          <w:bottom w:val="single" w:color="E8F2EC" w:sz="2"/>
          <w:right w:val="single" w:color="E8F2E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2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0A7A56"/>
              </w:rPr>
              <w:t xml:space="preserve">Good habit:  </w:t>
            </w:r>
            <w:r>
              <w:rPr>
                <w:rFonts w:ascii="Calibri" w:cs="Calibri" w:eastAsia="Calibri" w:hAnsi="Calibri"/>
                <w:color w:val="0C2A20"/>
              </w:rPr>
              <w:t xml:space="preserve">A consistent quarterly pack — performance, capital account and portfolio highlights — is exactly what LPs expect and what makes your next fund easier to raise.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C2A20"/>
          <w:sz w:val="30"/>
          <w:szCs w:val="30"/>
        </w:rPr>
        <w:t xml:space="preserve">8. Fund finance, tax and SEBI compliance</w:t>
      </w:r>
    </w:p>
    <w:p>
      <w:pPr>
        <w:spacing w:after="140" w:line="288"/>
      </w:pPr>
      <w:r>
        <w:rPr>
          <w:rFonts w:ascii="Calibri" w:cs="Calibri" w:eastAsia="Calibri" w:hAnsi="Calibri"/>
        </w:rPr>
        <w:t xml:space="preserve">Fund management → Financials holds the fund's financial statements. Governance → Compliance auto-populates your SEBI AIF obligations — including the quarterly activity report (AIF-QR) — with due dates and reminders, so filings never slip.</w:t>
      </w:r>
    </w:p>
    <w:p>
      <w:pPr>
        <w:spacing w:after="40" w:before="60"/>
        <w:jc w:val="center"/>
      </w:pPr>
      <w:r>
        <w:drawing>
          <wp:inline distT="0" distB="0" distL="0" distR="0">
            <wp:extent cx="58102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C6B63"/>
          <w:sz w:val="17"/>
          <w:szCs w:val="17"/>
        </w:rPr>
        <w:t xml:space="preserve">Fund financials — the fund's financial statements, alongside its live performance metrics.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Calibri" w:cs="Calibri" w:eastAsia="Calibri" w:hAnsi="Calibri"/>
          <w:b/>
          <w:bCs/>
          <w:color w:val="0C2A20"/>
        </w:rPr>
        <w:t xml:space="preserve">Financial statements — </w:t>
      </w:r>
      <w:r>
        <w:rPr>
          <w:rFonts w:ascii="Calibri" w:cs="Calibri" w:eastAsia="Calibri" w:hAnsi="Calibri"/>
        </w:rPr>
        <w:t xml:space="preserve">fund financial statements are maintained in Paper (general-ledger export is not included).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Calibri" w:cs="Calibri" w:eastAsia="Calibri" w:hAnsi="Calibri"/>
          <w:b/>
          <w:bCs/>
          <w:color w:val="0C2A20"/>
        </w:rPr>
        <w:t xml:space="preserve">Tax statements — </w:t>
      </w:r>
      <w:r>
        <w:rPr>
          <w:rFonts w:ascii="Calibri" w:cs="Calibri" w:eastAsia="Calibri" w:hAnsi="Calibri"/>
        </w:rPr>
        <w:t xml:space="preserve">generate the AIF tax statements (Form 64C / 64D) LPs need for their filings.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Calibri" w:cs="Calibri" w:eastAsia="Calibri" w:hAnsi="Calibri"/>
          <w:b/>
          <w:bCs/>
          <w:color w:val="0C2A20"/>
        </w:rPr>
        <w:t xml:space="preserve">Compliance calendar — </w:t>
      </w:r>
      <w:r>
        <w:rPr>
          <w:rFonts w:ascii="Calibri" w:cs="Calibri" w:eastAsia="Calibri" w:hAnsi="Calibri"/>
        </w:rPr>
        <w:t xml:space="preserve">the calendar tracks SEBI AIF filings (e.g. AIF-QR) plus the usual GST/TDS/MCA items, all flagged when due.</w:t>
      </w:r>
    </w:p>
    <w:p>
      <w:pPr>
        <w:spacing w:after="80"/>
      </w:pP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C2A20"/>
          <w:sz w:val="30"/>
          <w:szCs w:val="30"/>
        </w:rPr>
        <w:t xml:space="preserve">9. Plan and forecast</w:t>
      </w:r>
    </w:p>
    <w:p>
      <w:pPr>
        <w:spacing w:after="140" w:line="288"/>
      </w:pPr>
      <w:r>
        <w:rPr>
          <w:rFonts w:ascii="Calibri" w:cs="Calibri" w:eastAsia="Calibri" w:hAnsi="Calibri"/>
        </w:rPr>
        <w:t xml:space="preserve">Fund management → Plan &amp; forecast helps you construct and pace the fund: model the portfolio you intend to build, set aside follow-on reserves, pace deployment over the fund's life, and project returns.</w:t>
      </w:r>
    </w:p>
    <w:p>
      <w:pPr>
        <w:spacing w:after="40" w:before="60"/>
        <w:jc w:val="center"/>
      </w:pPr>
      <w:r>
        <w:drawing>
          <wp:inline distT="0" distB="0" distL="0" distR="0">
            <wp:extent cx="58102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C6B63"/>
          <w:sz w:val="17"/>
          <w:szCs w:val="17"/>
        </w:rPr>
        <w:t xml:space="preserve">Plan &amp; forecast — fund construction, reserves, deployment pacing and projected returns.</w:t>
      </w:r>
    </w:p>
    <w:p>
      <w:pPr>
        <w:spacing w:after="80"/>
      </w:pP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C2A20"/>
          <w:sz w:val="30"/>
          <w:szCs w:val="30"/>
        </w:rPr>
        <w:t xml:space="preserve">10. The fund lifecycle at a glance</w:t>
      </w:r>
    </w:p>
    <w:p>
      <w:pPr>
        <w:spacing w:after="140" w:line="288"/>
      </w:pPr>
      <w:r>
        <w:rPr>
          <w:rFonts w:ascii="Calibri" w:cs="Calibri" w:eastAsia="Calibri" w:hAnsi="Calibri"/>
        </w:rPr>
        <w:t xml:space="preserve">A rough map of where you'll spend your time across the life of the fund:</w:t>
      </w:r>
    </w:p>
    <w:tbl>
      <w:tblPr>
        <w:tblW w:type="dxa" w:w="9360"/>
        <w:tblBorders>
          <w:top w:val="single" w:color="D8E2DB" w:sz="2"/>
          <w:left w:val="none"/>
          <w:bottom w:val="single" w:color="D8E2DB" w:sz="2"/>
          <w:right w:val="none"/>
          <w:insideH w:val="single" w:color="D8E2DB" w:sz="2"/>
          <w:insideV w:val="single" w:color="D8E2DB" w:sz="2"/>
        </w:tblBorders>
      </w:tblPr>
      <w:tblGrid>
        <w:gridCol w:w="1750"/>
        <w:gridCol w:w="3350"/>
        <w:gridCol w:w="4260"/>
      </w:tblGrid>
      <w:tr>
        <w:trPr>
          <w:tblHeader/>
        </w:trPr>
        <w:tc>
          <w:tcPr>
            <w:tcW w:type="dxa" w:w="1750"/>
            <w:shd w:fill="0C2A2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350"/>
            <w:shd w:fill="0C2A2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you're focused on</w:t>
            </w:r>
          </w:p>
        </w:tc>
        <w:tc>
          <w:tcPr>
            <w:tcW w:type="dxa" w:w="4260"/>
            <w:shd w:fill="0C2A2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to work in Paper</w:t>
            </w:r>
          </w:p>
        </w:tc>
      </w:tr>
      <w:tr>
        <w:trPr>
          <w:tblHeader w:val="false"/>
        </w:trPr>
        <w:tc>
          <w:tcPr>
            <w:tcW w:type="dxa" w:w="175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C2A20"/>
                <w:sz w:val="19"/>
                <w:szCs w:val="19"/>
              </w:rPr>
              <w:t xml:space="preserve">Formation</w:t>
            </w:r>
          </w:p>
        </w:tc>
        <w:tc>
          <w:tcPr>
            <w:tcW w:type="dxa" w:w="335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C2A20"/>
                <w:sz w:val="19"/>
                <w:szCs w:val="19"/>
              </w:rPr>
              <w:t xml:space="preserve">Stand up the fund vehicle, SEBI category and economics</w:t>
            </w:r>
          </w:p>
        </w:tc>
        <w:tc>
          <w:tcPr>
            <w:tcW w:type="dxa" w:w="42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C2A20"/>
                <w:sz w:val="19"/>
                <w:szCs w:val="19"/>
              </w:rPr>
              <w:t xml:space="preserve">Create a Fund workspace + set the fund profile</w:t>
            </w:r>
          </w:p>
        </w:tc>
      </w:tr>
      <w:tr>
        <w:trPr>
          <w:tblHeader w:val="false"/>
        </w:trPr>
        <w:tc>
          <w:tcPr>
            <w:tcW w:type="dxa" w:w="1750"/>
            <w:shd w:fill="F1F6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C2A20"/>
                <w:sz w:val="19"/>
                <w:szCs w:val="19"/>
              </w:rPr>
              <w:t xml:space="preserve">Fundraising</w:t>
            </w:r>
          </w:p>
        </w:tc>
        <w:tc>
          <w:tcPr>
            <w:tcW w:type="dxa" w:w="3350"/>
            <w:shd w:fill="F1F6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C2A20"/>
                <w:sz w:val="19"/>
                <w:szCs w:val="19"/>
              </w:rPr>
              <w:t xml:space="preserve">Build an LP pipeline and secure commitments</w:t>
            </w:r>
          </w:p>
        </w:tc>
        <w:tc>
          <w:tcPr>
            <w:tcW w:type="dxa" w:w="4260"/>
            <w:shd w:fill="F1F6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C2A20"/>
                <w:sz w:val="19"/>
                <w:szCs w:val="19"/>
              </w:rPr>
              <w:t xml:space="preserve">Fund management → LP fundraise</w:t>
            </w:r>
          </w:p>
        </w:tc>
      </w:tr>
      <w:tr>
        <w:trPr>
          <w:tblHeader w:val="false"/>
        </w:trPr>
        <w:tc>
          <w:tcPr>
            <w:tcW w:type="dxa" w:w="175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C2A20"/>
                <w:sz w:val="19"/>
                <w:szCs w:val="19"/>
              </w:rPr>
              <w:t xml:space="preserve">Deploying</w:t>
            </w:r>
          </w:p>
        </w:tc>
        <w:tc>
          <w:tcPr>
            <w:tcW w:type="dxa" w:w="335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C2A20"/>
                <w:sz w:val="19"/>
                <w:szCs w:val="19"/>
              </w:rPr>
              <w:t xml:space="preserve">Source deals, invest, draw capital</w:t>
            </w:r>
          </w:p>
        </w:tc>
        <w:tc>
          <w:tcPr>
            <w:tcW w:type="dxa" w:w="42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C2A20"/>
                <w:sz w:val="19"/>
                <w:szCs w:val="19"/>
              </w:rPr>
              <w:t xml:space="preserve">Portfolio → Deal pipeline, Holdings · Fund management → Capital &amp; LPs</w:t>
            </w:r>
          </w:p>
        </w:tc>
      </w:tr>
      <w:tr>
        <w:trPr>
          <w:tblHeader w:val="false"/>
        </w:trPr>
        <w:tc>
          <w:tcPr>
            <w:tcW w:type="dxa" w:w="1750"/>
            <w:shd w:fill="F1F6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C2A20"/>
                <w:sz w:val="19"/>
                <w:szCs w:val="19"/>
              </w:rPr>
              <w:t xml:space="preserve">Managing</w:t>
            </w:r>
          </w:p>
        </w:tc>
        <w:tc>
          <w:tcPr>
            <w:tcW w:type="dxa" w:w="3350"/>
            <w:shd w:fill="F1F6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C2A20"/>
                <w:sz w:val="19"/>
                <w:szCs w:val="19"/>
              </w:rPr>
              <w:t xml:space="preserve">Monitor the portfolio, call capital, report to LPs</w:t>
            </w:r>
          </w:p>
        </w:tc>
        <w:tc>
          <w:tcPr>
            <w:tcW w:type="dxa" w:w="4260"/>
            <w:shd w:fill="F1F6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C2A20"/>
                <w:sz w:val="19"/>
                <w:szCs w:val="19"/>
              </w:rPr>
              <w:t xml:space="preserve">Monitoring · Fund management → Capital &amp; LPs, LP updates, Financials</w:t>
            </w:r>
          </w:p>
        </w:tc>
      </w:tr>
      <w:tr>
        <w:trPr>
          <w:tblHeader w:val="false"/>
        </w:trPr>
        <w:tc>
          <w:tcPr>
            <w:tcW w:type="dxa" w:w="175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C2A20"/>
                <w:sz w:val="19"/>
                <w:szCs w:val="19"/>
              </w:rPr>
              <w:t xml:space="preserve">Harvesting</w:t>
            </w:r>
          </w:p>
        </w:tc>
        <w:tc>
          <w:tcPr>
            <w:tcW w:type="dxa" w:w="335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C2A20"/>
                <w:sz w:val="19"/>
                <w:szCs w:val="19"/>
              </w:rPr>
              <w:t xml:space="preserve">Distributions, waterfall and final reporting</w:t>
            </w:r>
          </w:p>
        </w:tc>
        <w:tc>
          <w:tcPr>
            <w:tcW w:type="dxa" w:w="42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C2A20"/>
                <w:sz w:val="19"/>
                <w:szCs w:val="19"/>
              </w:rPr>
              <w:t xml:space="preserve">Fund management → Capital &amp; LPs, Financials</w:t>
            </w:r>
          </w:p>
        </w:tc>
      </w:tr>
    </w:tbl>
    <w:p>
      <w:pPr>
        <w:spacing w:after="80"/>
      </w:pPr>
    </w:p>
    <w:p>
      <w:pPr>
        <w:spacing w:after="140" w:line="288"/>
      </w:pPr>
      <w:r>
        <w:rPr>
          <w:rFonts w:ascii="Calibri" w:cs="Calibri" w:eastAsia="Calibri" w:hAnsi="Calibri"/>
        </w:rPr>
        <w:t xml:space="preserve">And what lives where in a fund workspace:</w:t>
      </w:r>
    </w:p>
    <w:tbl>
      <w:tblPr>
        <w:tblW w:type="dxa" w:w="9360"/>
        <w:tblBorders>
          <w:top w:val="single" w:color="D8E2DB" w:sz="2"/>
          <w:left w:val="none"/>
          <w:bottom w:val="single" w:color="D8E2DB" w:sz="2"/>
          <w:right w:val="none"/>
          <w:insideH w:val="single" w:color="D8E2DB" w:sz="2"/>
          <w:insideV w:val="single" w:color="D8E2DB" w:sz="2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0C2A2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Workspace area</w:t>
            </w:r>
          </w:p>
        </w:tc>
        <w:tc>
          <w:tcPr>
            <w:tcW w:type="dxa" w:w="6860"/>
            <w:shd w:fill="0C2A2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lives there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C2A20"/>
                <w:sz w:val="19"/>
                <w:szCs w:val="19"/>
              </w:rPr>
              <w:t xml:space="preserve">Home</w:t>
            </w:r>
          </w:p>
        </w:tc>
        <w:tc>
          <w:tcPr>
            <w:tcW w:type="dxa" w:w="68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C2A20"/>
                <w:sz w:val="19"/>
                <w:szCs w:val="19"/>
              </w:rPr>
              <w:t xml:space="preserve">Dashboard (the fund at a glance) and Tasks.</w:t>
            </w:r>
          </w:p>
        </w:tc>
      </w:tr>
      <w:tr>
        <w:trPr>
          <w:tblHeader w:val="false"/>
        </w:trPr>
        <w:tc>
          <w:tcPr>
            <w:tcW w:type="dxa" w:w="2500"/>
            <w:shd w:fill="F1F6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C2A20"/>
                <w:sz w:val="19"/>
                <w:szCs w:val="19"/>
              </w:rPr>
              <w:t xml:space="preserve">Fund management</w:t>
            </w:r>
          </w:p>
        </w:tc>
        <w:tc>
          <w:tcPr>
            <w:tcW w:type="dxa" w:w="6860"/>
            <w:shd w:fill="F1F6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C2A20"/>
                <w:sz w:val="19"/>
                <w:szCs w:val="19"/>
              </w:rPr>
              <w:t xml:space="preserve">Capital &amp; LPs, LP fundraise, Plan &amp; forecast, Financials, LP updates.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C2A20"/>
                <w:sz w:val="19"/>
                <w:szCs w:val="19"/>
              </w:rPr>
              <w:t xml:space="preserve">Portfolio</w:t>
            </w:r>
          </w:p>
        </w:tc>
        <w:tc>
          <w:tcPr>
            <w:tcW w:type="dxa" w:w="68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C2A20"/>
                <w:sz w:val="19"/>
                <w:szCs w:val="19"/>
              </w:rPr>
              <w:t xml:space="preserve">Deal pipeline and Holdings.</w:t>
            </w:r>
          </w:p>
        </w:tc>
      </w:tr>
      <w:tr>
        <w:trPr>
          <w:tblHeader w:val="false"/>
        </w:trPr>
        <w:tc>
          <w:tcPr>
            <w:tcW w:type="dxa" w:w="2500"/>
            <w:shd w:fill="F1F6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C2A20"/>
                <w:sz w:val="19"/>
                <w:szCs w:val="19"/>
              </w:rPr>
              <w:t xml:space="preserve">Monitoring</w:t>
            </w:r>
          </w:p>
        </w:tc>
        <w:tc>
          <w:tcPr>
            <w:tcW w:type="dxa" w:w="6860"/>
            <w:shd w:fill="F1F6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C2A20"/>
                <w:sz w:val="19"/>
                <w:szCs w:val="19"/>
              </w:rPr>
              <w:t xml:space="preserve">Portfolio-company KPIs, risk signals, tear sheets, benchmarking.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C2A20"/>
                <w:sz w:val="19"/>
                <w:szCs w:val="19"/>
              </w:rPr>
              <w:t xml:space="preserve">Governance</w:t>
            </w:r>
          </w:p>
        </w:tc>
        <w:tc>
          <w:tcPr>
            <w:tcW w:type="dxa" w:w="68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C2A20"/>
                <w:sz w:val="19"/>
                <w:szCs w:val="19"/>
              </w:rPr>
              <w:t xml:space="preserve">Board &amp; Resolutions, Compliance (SEBI AIF calendar), Registers.</w:t>
            </w:r>
          </w:p>
        </w:tc>
      </w:tr>
      <w:tr>
        <w:trPr>
          <w:tblHeader w:val="false"/>
        </w:trPr>
        <w:tc>
          <w:tcPr>
            <w:tcW w:type="dxa" w:w="2500"/>
            <w:shd w:fill="F1F6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C2A20"/>
                <w:sz w:val="19"/>
                <w:szCs w:val="19"/>
              </w:rPr>
              <w:t xml:space="preserve">Operations</w:t>
            </w:r>
          </w:p>
        </w:tc>
        <w:tc>
          <w:tcPr>
            <w:tcW w:type="dxa" w:w="6860"/>
            <w:shd w:fill="F1F6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C2A20"/>
                <w:sz w:val="19"/>
                <w:szCs w:val="19"/>
              </w:rPr>
              <w:t xml:space="preserve">Documents and records.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0C2A20"/>
                <w:sz w:val="19"/>
                <w:szCs w:val="19"/>
              </w:rPr>
              <w:t xml:space="preserve">Partners</w:t>
            </w:r>
          </w:p>
        </w:tc>
        <w:tc>
          <w:tcPr>
            <w:tcW w:type="dxa" w:w="68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0C2A20"/>
                <w:sz w:val="19"/>
                <w:szCs w:val="19"/>
              </w:rPr>
              <w:t xml:space="preserve">Marketplace, Advisors, Managed Admin.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C2A20"/>
          <w:sz w:val="30"/>
          <w:szCs w:val="30"/>
        </w:rPr>
        <w:t xml:space="preserve">11. Getting help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Calibri" w:cs="Calibri" w:eastAsia="Calibri" w:hAnsi="Calibri"/>
          <w:b/>
          <w:bCs/>
          <w:color w:val="0C2A20"/>
        </w:rPr>
        <w:t xml:space="preserve">In-app Guide — </w:t>
      </w:r>
      <w:r>
        <w:rPr>
          <w:rFonts w:ascii="Calibri" w:cs="Calibri" w:eastAsia="Calibri" w:hAnsi="Calibri"/>
        </w:rPr>
        <w:t xml:space="preserve">the in-app Guide (in the sidebar) has walkthroughs for funds, startups and investors/LPs.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Calibri" w:cs="Calibri" w:eastAsia="Calibri" w:hAnsi="Calibri"/>
          <w:b/>
          <w:bCs/>
          <w:color w:val="0C2A20"/>
        </w:rPr>
        <w:t xml:space="preserve">Quick search — </w:t>
      </w:r>
      <w:r>
        <w:rPr>
          <w:rFonts w:ascii="Calibri" w:cs="Calibri" w:eastAsia="Calibri" w:hAnsi="Calibri"/>
        </w:rPr>
        <w:t xml:space="preserve">press Ctrl/⌘ + K to search and jump anywhere instantly.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rFonts w:ascii="Calibri" w:cs="Calibri" w:eastAsia="Calibri" w:hAnsi="Calibri"/>
          <w:b/>
          <w:bCs/>
          <w:color w:val="0C2A20"/>
        </w:rPr>
        <w:t xml:space="preserve">Next step — </w:t>
      </w:r>
      <w:r>
        <w:rPr>
          <w:rFonts w:ascii="Calibri" w:cs="Calibri" w:eastAsia="Calibri" w:hAnsi="Calibri"/>
        </w:rPr>
        <w:t xml:space="preserve">the fund dashboard's quick actions and compliance alerts point you at whatever needs attention next.</w:t>
      </w:r>
    </w:p>
    <w:p>
      <w:pPr>
        <w:pBdr>
          <w:bottom w:val="single" w:color="D8E2DB" w:sz="6"/>
        </w:pBdr>
        <w:spacing w:after="160"/>
      </w:pPr>
    </w:p>
    <w:p>
      <w:pPr>
        <w:spacing w:before="60"/>
      </w:pPr>
      <w:r>
        <w:rPr>
          <w:rFonts w:ascii="Calibri" w:cs="Calibri" w:eastAsia="Calibri" w:hAnsi="Calibri"/>
          <w:i/>
          <w:iCs/>
          <w:color w:val="5C6B63"/>
          <w:sz w:val="18"/>
          <w:szCs w:val="18"/>
        </w:rPr>
        <w:t xml:space="preserve">Paper — the OS for corporate legal. This guide describes the standard AIF/fund workflow; figures shown are illustrative sample data.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2DB" w:sz="4"/>
      </w:pBdr>
      <w:spacing w:before="80"/>
      <w:jc w:val="center"/>
    </w:pPr>
    <w:r>
      <w:rPr>
        <w:rFonts w:ascii="Calibri" w:cs="Calibri" w:eastAsia="Calibri" w:hAnsi="Calibri"/>
        <w:color w:val="5C6B63"/>
        <w:sz w:val="16"/>
        <w:szCs w:val="16"/>
      </w:rPr>
      <w:t xml:space="preserve">Paper — Fund Manager's Guide</w:t>
    </w:r>
    <w:r>
      <w:rPr>
        <w:rFonts w:ascii="Calibri" w:cs="Calibri" w:eastAsia="Calibri" w:hAnsi="Calibri"/>
      </w:rPr>
      <w:t xml:space="preserve">     </w:t>
    </w:r>
    <w:r>
      <w:rPr>
        <w:rFonts w:ascii="Calibri" w:cs="Calibri" w:eastAsia="Calibri" w:hAnsi="Calibri"/>
        <w:color w:val="5C6B6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0A7A5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  <w:rPr>
        <w:b/>
        <w:bCs/>
        <w:color w:val="0A7A5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30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10544dd5b97a535b6f935ff58d40b7fcb7c56eb.png"/><Relationship Id="rId9" Type="http://schemas.openxmlformats.org/officeDocument/2006/relationships/image" Target="media/5af6b43f99d988ba486e82d47566d308bea0dc41.png"/><Relationship Id="rId10" Type="http://schemas.openxmlformats.org/officeDocument/2006/relationships/image" Target="media/b2e40a573d40aec9ce393043d02a78cd635f8273.png"/><Relationship Id="rId11" Type="http://schemas.openxmlformats.org/officeDocument/2006/relationships/image" Target="media/3b114f7698758660e53926f0c8150fcf0a0b71c8.png"/><Relationship Id="rId12" Type="http://schemas.openxmlformats.org/officeDocument/2006/relationships/image" Target="media/eb0f2f5dec93987b3e72cb1c0480877fe80945ce.png"/><Relationship Id="rId13" Type="http://schemas.openxmlformats.org/officeDocument/2006/relationships/image" Target="media/1bb0cc01dec90282efe415d4fd48d8a16271f523.png"/><Relationship Id="rId14" Type="http://schemas.openxmlformats.org/officeDocument/2006/relationships/image" Target="media/af5742ca79dc970d325d82646a3e7cef5390239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— Fund Manager's Guide</dc:title>
  <dc:creator>Paper</dc:creator>
  <dc:description>A walkthrough of the fund/AIF workflow in Paper.</dc:description>
  <cp:lastModifiedBy>Un-named</cp:lastModifiedBy>
  <cp:revision>1</cp:revision>
  <dcterms:created xsi:type="dcterms:W3CDTF">2026-07-22T16:17:47.068Z</dcterms:created>
  <dcterms:modified xsi:type="dcterms:W3CDTF">2026-07-22T16:17:47.069Z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