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Paper — High-Level Design (HLD)</w:t>
      </w:r>
    </w:p>
    <w:p>
      <w:pPr>
        <w:pStyle w:val="Subtitle"/>
      </w:pPr>
      <w:r>
        <w:t xml:space="preserve">An operating system for corporate legal — for Indian startups and funds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6" w:name="paper--high-level-design-hld"/>
    <w:p>
      <w:pPr>
        <w:pStyle w:val="Heading1"/>
      </w:pPr>
      <w:r>
        <w:t xml:space="preserve">Paper — High-Level Design (HLD)</w:t>
      </w:r>
    </w:p>
    <w:p>
      <w:pPr>
        <w:pStyle w:val="FirstParagraph"/>
      </w:pPr>
      <w:r>
        <w:rPr>
          <w:b/>
          <w:bCs/>
        </w:rPr>
        <w:t xml:space="preserve">An "operating system for corporate legal" for Indian startups and funds.</w:t>
      </w:r>
    </w:p>
    <w:p>
      <w:pPr>
        <w:pStyle w:val="BodyText"/>
      </w:pPr>
      <w:r>
        <w:t xml:space="preserve">Status:</w:t>
      </w:r>
      <w:r>
        <w:t xml:space="preserve"> </w:t>
      </w:r>
      <w:r>
        <w:rPr>
          <w:b/>
          <w:bCs/>
        </w:rPr>
        <w:t xml:space="preserve">v1.0 (as-built reconciliation)</w:t>
      </w:r>
      <w:r>
        <w:t xml:space="preserve"> </w:t>
      </w:r>
      <w:r>
        <w:t xml:space="preserve">· Date: 2026-07-14 · Supersedes: Draft v0.1 (2026-06-25) · Companion to:</w:t>
      </w:r>
      <w:r>
        <w:t xml:space="preserve"> </w:t>
      </w:r>
      <w:r>
        <w:rPr>
          <w:rStyle w:val="VerbatimChar"/>
        </w:rPr>
        <w:t xml:space="preserve">REQUIREMENTS.md</w:t>
      </w:r>
      <w:r>
        <w:t xml:space="preserve"> </w:t>
      </w:r>
      <w:r>
        <w:t xml:space="preserve">(v1.3),</w:t>
      </w:r>
      <w:r>
        <w:t xml:space="preserve"> </w:t>
      </w:r>
      <w:r>
        <w:rPr>
          <w:rStyle w:val="VerbatimChar"/>
        </w:rPr>
        <w:t xml:space="preserve">DEPLOYMENT.md</w:t>
      </w:r>
    </w:p>
    <w:p>
      <w:pPr>
        <w:pStyle w:val="BlockText"/>
      </w:pPr>
      <w:r>
        <w:t xml:space="preserve">v1.0 reconciles the design against the working system (</w:t>
      </w:r>
      <w:r>
        <w:rPr>
          <w:rStyle w:val="VerbatimChar"/>
        </w:rPr>
        <w:t xml:space="preserve">apps/api</w:t>
      </w:r>
      <w:r>
        <w:t xml:space="preserve"> </w:t>
      </w:r>
      <w:r>
        <w:t xml:space="preserve">FastAPI backend, 174 tests;</w:t>
      </w:r>
      <w:r>
        <w:t xml:space="preserve"> </w:t>
      </w:r>
      <w:r>
        <w:rPr>
          <w:rStyle w:val="VerbatimChar"/>
        </w:rPr>
        <w:t xml:space="preserve">apps/web</w:t>
      </w:r>
      <w:r>
        <w:t xml:space="preserve"> </w:t>
      </w:r>
      <w:r>
        <w:t xml:space="preserve">React SPA). Sections keep the target architecture and mark</w:t>
      </w:r>
      <w:r>
        <w:t xml:space="preserve"> </w:t>
      </w:r>
      <w:r>
        <w:rPr>
          <w:b/>
          <w:bCs/>
        </w:rPr>
        <w:t xml:space="preserve">[As built]</w:t>
      </w:r>
      <w:r>
        <w:t xml:space="preserve"> </w:t>
      </w:r>
      <w:r>
        <w:t xml:space="preserve">where the implementation exists today and</w:t>
      </w:r>
      <w:r>
        <w:t xml:space="preserve"> </w:t>
      </w:r>
      <w:r>
        <w:rPr>
          <w:b/>
          <w:bCs/>
        </w:rPr>
        <w:t xml:space="preserve">[Target]</w:t>
      </w:r>
      <w:r>
        <w:t xml:space="preserve"> </w:t>
      </w:r>
      <w:r>
        <w:t xml:space="preserve">where the design awaits deployment or credentials. §16 is the as-built addendum.</w:t>
      </w:r>
    </w:p>
    <w:p>
      <w:r>
        <w:pict>
          <v:rect style="width:0;height:1.5pt" o:hralign="center" o:hrstd="t" o:hr="t"/>
        </w:pict>
      </w:r>
    </w:p>
    <w:bookmarkStart w:id="17" w:name="Xe3d0fc0bea9a42ce7605565d0964033d7f6ee47"/>
    <w:p>
      <w:pPr>
        <w:pStyle w:val="Heading2"/>
      </w:pPr>
      <w:r>
        <w:t xml:space="preserve">1. Introduction</w:t>
      </w:r>
    </w:p>
    <w:bookmarkStart w:id="9" w:name="Xe94c4103db6bb764aa3b798144b782dac27f424"/>
    <w:p>
      <w:pPr>
        <w:pStyle w:val="Heading3"/>
      </w:pPr>
      <w:r>
        <w:t xml:space="preserve">1.1 Purpose</w:t>
      </w:r>
    </w:p>
    <w:p>
      <w:pPr>
        <w:pStyle w:val="FirstParagraph"/>
      </w:pPr>
      <w:r>
        <w:t xml:space="preserve">This High-Level Design describes the architecture of</w:t>
      </w:r>
      <w:r>
        <w:t xml:space="preserve"> </w:t>
      </w:r>
      <w:r>
        <w:rPr>
          <w:b/>
          <w:bCs/>
        </w:rPr>
        <w:t xml:space="preserve">Paper</w:t>
      </w:r>
      <w:r>
        <w:t xml:space="preserve"> </w:t>
      </w:r>
      <w:r>
        <w:t xml:space="preserve">— the system whose capabilities are specified in</w:t>
      </w:r>
      <w:r>
        <w:t xml:space="preserve"> </w:t>
      </w:r>
      <w:r>
        <w:rPr>
          <w:rStyle w:val="VerbatimChar"/>
        </w:rPr>
        <w:t xml:space="preserve">REQUIREMENTS.md</w:t>
      </w:r>
      <w:r>
        <w:t xml:space="preserve">. It defines the logical decomposition, technology stack, data and integration architecture, the workflow engine, key runtime flows, security, and deployment. It is the bridge between</w:t>
      </w:r>
      <w:r>
        <w:t xml:space="preserve"> </w:t>
      </w:r>
      <w:r>
        <w:rPr>
          <w:i/>
          <w:iCs/>
        </w:rPr>
        <w:t xml:space="preserve">what</w:t>
      </w:r>
      <w:r>
        <w:t xml:space="preserve"> </w:t>
      </w:r>
      <w:r>
        <w:t xml:space="preserve">the product must do (requirements) and</w:t>
      </w:r>
      <w:r>
        <w:t xml:space="preserve"> </w:t>
      </w:r>
      <w:r>
        <w:rPr>
          <w:i/>
          <w:iCs/>
        </w:rPr>
        <w:t xml:space="preserve">how</w:t>
      </w:r>
      <w:r>
        <w:t xml:space="preserve"> </w:t>
      </w:r>
      <w:r>
        <w:t xml:space="preserve">engineering builds it (low-level design / implementation).</w:t>
      </w:r>
    </w:p>
    <w:bookmarkEnd w:id="9"/>
    <w:bookmarkStart w:id="10" w:name="X3378fde8998068a01e48267892e5cd923e9bc15"/>
    <w:p>
      <w:pPr>
        <w:pStyle w:val="Heading3"/>
      </w:pPr>
      <w:r>
        <w:t xml:space="preserve">1.2 Scope</w:t>
      </w:r>
    </w:p>
    <w:p>
      <w:pPr>
        <w:pStyle w:val="FirstParagraph"/>
      </w:pPr>
      <w:r>
        <w:t xml:space="preserve">Covers the platform that serves both customer types —</w:t>
      </w:r>
      <w:r>
        <w:t xml:space="preserve"> </w:t>
      </w:r>
      <w:r>
        <w:rPr>
          <w:b/>
          <w:bCs/>
        </w:rPr>
        <w:t xml:space="preserve">startups/operating companies</w:t>
      </w:r>
      <w:r>
        <w:t xml:space="preserve"> </w:t>
      </w:r>
      <w:r>
        <w:t xml:space="preserve">and</w:t>
      </w:r>
      <w:r>
        <w:t xml:space="preserve"> </w:t>
      </w:r>
      <w:r>
        <w:rPr>
          <w:b/>
          <w:bCs/>
        </w:rPr>
        <w:t xml:space="preserve">funds (SEBI AIFs)</w:t>
      </w:r>
      <w:r>
        <w:t xml:space="preserve"> </w:t>
      </w:r>
      <w:r>
        <w:t xml:space="preserve">— across the</w:t>
      </w:r>
      <w:r>
        <w:t xml:space="preserve"> </w:t>
      </w:r>
      <w:r>
        <w:rPr>
          <w:b/>
          <w:bCs/>
        </w:rPr>
        <w:t xml:space="preserve">21 functional modules (A–U)</w:t>
      </w:r>
      <w:r>
        <w:t xml:space="preserve"> </w:t>
      </w:r>
      <w:r>
        <w:t xml:space="preserve">and the non-functional requirements. Low-level schema DDL, API contracts per endpoint, and UI wireframes are out of scope (the OpenAPI spec is generated by the running service at</w:t>
      </w:r>
      <w:r>
        <w:t xml:space="preserve"> </w:t>
      </w:r>
      <w:r>
        <w:rPr>
          <w:rStyle w:val="VerbatimChar"/>
        </w:rPr>
        <w:t xml:space="preserve">/docs</w:t>
      </w:r>
      <w:r>
        <w:t xml:space="preserve">).</w:t>
      </w:r>
    </w:p>
    <w:bookmarkEnd w:id="10"/>
    <w:bookmarkStart w:id="11" w:name="X8a4810ba87ed665bf98c91e43a2a6e2c9aec130"/>
    <w:p>
      <w:pPr>
        <w:pStyle w:val="Heading3"/>
      </w:pPr>
      <w:r>
        <w:t xml:space="preserve">1.3 Audience</w:t>
      </w:r>
    </w:p>
    <w:p>
      <w:pPr>
        <w:pStyle w:val="FirstParagraph"/>
      </w:pPr>
      <w:r>
        <w:t xml:space="preserve">Engineering leads, architects, security/compliance reviewers, and the product team.</w:t>
      </w:r>
    </w:p>
    <w:bookmarkEnd w:id="11"/>
    <w:bookmarkStart w:id="14" w:name="Xf8afe345782cbed00f3c2830abd05d0a5ea4b9a"/>
    <w:p>
      <w:pPr>
        <w:pStyle w:val="Heading3"/>
      </w:pPr>
      <w:r>
        <w:t xml:space="preserve">1.4 References</w:t>
      </w:r>
    </w:p>
    <w:p>
      <w:pPr>
        <w:pStyle w:val="Compact"/>
        <w:numPr>
          <w:ilvl w:val="0"/>
          <w:numId w:val="1001"/>
        </w:numPr>
      </w:pPr>
      <w:r>
        <w:rPr>
          <w:rStyle w:val="VerbatimChar"/>
        </w:rPr>
        <w:t xml:space="preserve">REQUIREMENTS.md</w:t>
      </w:r>
      <w:r>
        <w:t xml:space="preserve"> </w:t>
      </w:r>
      <w:r>
        <w:t xml:space="preserve">— functional (FR-A..T) and non-functional (NFR-1..11) requirements, conceptual data model (§6).</w:t>
      </w:r>
    </w:p>
    <w:p>
      <w:pPr>
        <w:pStyle w:val="Compact"/>
        <w:numPr>
          <w:ilvl w:val="0"/>
          <w:numId w:val="1001"/>
        </w:numPr>
      </w:pPr>
      <w:r>
        <w:t xml:space="preserve">PaperOS capability grounding:</w:t>
      </w:r>
      <w:r>
        <w:t xml:space="preserve"> </w:t>
      </w:r>
      <w:hyperlink r:id="rId12">
        <w:r>
          <w:rPr>
            <w:rStyle w:val="Hyperlink"/>
          </w:rPr>
          <w:t xml:space="preserve">paperos.com</w:t>
        </w:r>
      </w:hyperlink>
      <w:r>
        <w:t xml:space="preserve">,</w:t>
      </w:r>
      <w:r>
        <w:t xml:space="preserve"> </w:t>
      </w:r>
      <w:hyperlink r:id="rId13">
        <w:r>
          <w:rPr>
            <w:rStyle w:val="Hyperlink"/>
          </w:rPr>
          <w:t xml:space="preserve">learn.paperos.com</w:t>
        </w:r>
      </w:hyperlink>
      <w:r>
        <w:t xml:space="preserve">.</w:t>
      </w:r>
    </w:p>
    <w:bookmarkEnd w:id="14"/>
    <w:bookmarkStart w:id="15" w:name="X21b3c50786aca22fba3df3a02a160c6702033f3"/>
    <w:p>
      <w:pPr>
        <w:pStyle w:val="Heading3"/>
      </w:pPr>
      <w:r>
        <w:t xml:space="preserve">1.5 Definitions</w:t>
      </w:r>
    </w:p>
    <w:p>
      <w:pPr>
        <w:pStyle w:val="FirstParagraph"/>
      </w:pPr>
      <w:r>
        <w:t xml:space="preserve">AIF (Alternative Investment Fund), CCPS/CCD (compulsorily convertible preference shares / debentures), FC-GPR/FC-TRS (RBI foreign-investment filings), DSC (Digital Signature Certificate), RTA (Registrar &amp; Transfer Agent), DPDP (Digital Personal Data Protection Act 2023), RBAC (role-based access control), SoT (source of truth).</w:t>
      </w:r>
    </w:p>
    <w:bookmarkEnd w:id="15"/>
    <w:bookmarkStart w:id="16" w:name="X9697107ae437e10e15578b4816db224633d0c8c"/>
    <w:p>
      <w:pPr>
        <w:pStyle w:val="Heading3"/>
      </w:pPr>
      <w:r>
        <w:t xml:space="preserve">1.6 Stated assumptions (design inputs)</w:t>
      </w:r>
    </w:p>
    <w:p>
      <w:pPr>
        <w:pStyle w:val="BlockText"/>
      </w:pPr>
      <w:r>
        <w:t xml:space="preserve">These shape the design; flag if any is wrong.</w:t>
      </w:r>
    </w:p>
    <w:p>
      <w:pPr>
        <w:pStyle w:val="Compact"/>
        <w:numPr>
          <w:ilvl w:val="0"/>
          <w:numId w:val="1002"/>
        </w:numPr>
      </w:pPr>
      <w:r>
        <w:t xml:space="preserve">Cloud is</w:t>
      </w:r>
      <w:r>
        <w:t xml:space="preserve"> </w:t>
      </w:r>
      <w:r>
        <w:rPr>
          <w:b/>
          <w:bCs/>
        </w:rPr>
        <w:t xml:space="preserve">GCP</w:t>
      </w:r>
      <w:r>
        <w:t xml:space="preserve"> </w:t>
      </w:r>
      <w:r>
        <w:t xml:space="preserve">with deploys to</w:t>
      </w:r>
      <w:r>
        <w:t xml:space="preserve"> </w:t>
      </w:r>
      <w:r>
        <w:rPr>
          <w:b/>
          <w:bCs/>
        </w:rPr>
        <w:t xml:space="preserve">Cloud Run</w:t>
      </w:r>
      <w:r>
        <w:t xml:space="preserve"> </w:t>
      </w:r>
      <w:r>
        <w:t xml:space="preserve">via GitHub Actions + Workload Identity Federation — consistent with the org's other platforms.</w:t>
      </w:r>
      <w:r>
        <w:t xml:space="preserve"> </w:t>
      </w:r>
      <w:r>
        <w:rPr>
          <w:i/>
          <w:iCs/>
        </w:rPr>
        <w:t xml:space="preserve">[Target — deployment deferred until Cloud SQL exists; plan in</w:t>
      </w:r>
      <w:r>
        <w:rPr>
          <w:i/>
          <w:iCs/>
        </w:rPr>
        <w:t xml:space="preserve"> </w:t>
      </w:r>
      <w:r>
        <w:rPr>
          <w:rStyle w:val="VerbatimChar"/>
          <w:i/>
          <w:iCs/>
        </w:rPr>
        <w:t xml:space="preserve">DEPLOYMENT.md</w:t>
      </w:r>
      <w:r>
        <w:rPr>
          <w:i/>
          <w:iCs/>
        </w:rPr>
        <w:t xml:space="preserve">.]</w:t>
      </w:r>
    </w:p>
    <w:p>
      <w:pPr>
        <w:pStyle w:val="Compact"/>
        <w:numPr>
          <w:ilvl w:val="0"/>
          <w:numId w:val="1002"/>
        </w:numPr>
      </w:pPr>
      <w:r>
        <w:t xml:space="preserve">Primary stack is</w:t>
      </w:r>
      <w:r>
        <w:t xml:space="preserve"> </w:t>
      </w:r>
      <w:r>
        <w:rPr>
          <w:b/>
          <w:bCs/>
        </w:rPr>
        <w:t xml:space="preserve">Python/FastAPI</w:t>
      </w:r>
      <w:r>
        <w:t xml:space="preserve"> </w:t>
      </w:r>
      <w:r>
        <w:t xml:space="preserve">services +</w:t>
      </w:r>
      <w:r>
        <w:t xml:space="preserve"> </w:t>
      </w:r>
      <w:r>
        <w:rPr>
          <w:b/>
          <w:bCs/>
        </w:rPr>
        <w:t xml:space="preserve">React (Vite)</w:t>
      </w:r>
      <w:r>
        <w:t xml:space="preserve"> </w:t>
      </w:r>
      <w:r>
        <w:t xml:space="preserve">SPA +</w:t>
      </w:r>
      <w:r>
        <w:t xml:space="preserve"> </w:t>
      </w:r>
      <w:r>
        <w:rPr>
          <w:b/>
          <w:bCs/>
        </w:rPr>
        <w:t xml:space="preserve">PostgreSQL</w:t>
      </w:r>
      <w:r>
        <w:t xml:space="preserve">, matching the org's existing apps.</w:t>
      </w:r>
      <w:r>
        <w:t xml:space="preserve"> </w:t>
      </w:r>
      <w:r>
        <w:rPr>
          <w:i/>
          <w:iCs/>
        </w:rPr>
        <w:t xml:space="preserve">[As built — dev runs on SQLite via</w:t>
      </w:r>
      <w:r>
        <w:rPr>
          <w:i/>
          <w:iCs/>
        </w:rPr>
        <w:t xml:space="preserve"> </w:t>
      </w:r>
      <w:r>
        <w:rPr>
          <w:rStyle w:val="VerbatimChar"/>
          <w:i/>
          <w:iCs/>
        </w:rPr>
        <w:t xml:space="preserve">PAPER_DATABASE_URL</w:t>
      </w:r>
      <w:r>
        <w:rPr>
          <w:i/>
          <w:iCs/>
        </w:rPr>
        <w:t xml:space="preserve">; the app is Postgres-ready and Alembic-migrated.]</w:t>
      </w:r>
    </w:p>
    <w:p>
      <w:pPr>
        <w:pStyle w:val="Compact"/>
        <w:numPr>
          <w:ilvl w:val="0"/>
          <w:numId w:val="1002"/>
        </w:numPr>
      </w:pPr>
      <w:r>
        <w:t xml:space="preserve">We</w:t>
      </w:r>
      <w:r>
        <w:t xml:space="preserve"> </w:t>
      </w:r>
      <w:r>
        <w:rPr>
          <w:b/>
          <w:bCs/>
        </w:rPr>
        <w:t xml:space="preserve">prepare and assist</w:t>
      </w:r>
      <w:r>
        <w:t xml:space="preserve"> </w:t>
      </w:r>
      <w:r>
        <w:t xml:space="preserve">statutory filings; licensed professionals (CS/CA/merchant banker) review and file where law requires. Paper is not itself a regulated intermediary, payment gateway, or RTA.</w:t>
      </w:r>
      <w:r>
        <w:t xml:space="preserve"> </w:t>
      </w:r>
      <w:r>
        <w:rPr>
          <w:i/>
          <w:iCs/>
        </w:rPr>
        <w:t xml:space="preserve">[As built.]</w:t>
      </w:r>
    </w:p>
    <w:p>
      <w:pPr>
        <w:pStyle w:val="Compact"/>
        <w:numPr>
          <w:ilvl w:val="0"/>
          <w:numId w:val="1002"/>
        </w:numPr>
      </w:pPr>
      <w:r>
        <w:t xml:space="preserve">India-first: data residency in India, INR base currency, English-first UI, and a</w:t>
      </w:r>
      <w:r>
        <w:t xml:space="preserve"> </w:t>
      </w:r>
      <w:r>
        <w:rPr>
          <w:b/>
          <w:bCs/>
        </w:rPr>
        <w:t xml:space="preserve">uniform IST platform clock</w:t>
      </w:r>
      <w:r>
        <w:t xml:space="preserve"> </w:t>
      </w:r>
      <w:r>
        <w:t xml:space="preserve">for every recorded time (NFR-13).</w:t>
      </w:r>
      <w:r>
        <w:t xml:space="preserve"> </w:t>
      </w:r>
      <w:r>
        <w:rPr>
          <w:i/>
          <w:iCs/>
        </w:rPr>
        <w:t xml:space="preserve">[As built.]</w:t>
      </w:r>
    </w:p>
    <w:p>
      <w:pPr>
        <w:pStyle w:val="Compact"/>
        <w:numPr>
          <w:ilvl w:val="0"/>
          <w:numId w:val="1002"/>
        </w:numPr>
      </w:pPr>
      <w:r>
        <w:t xml:space="preserve">Build-vs-buy favours</w:t>
      </w:r>
      <w:r>
        <w:t xml:space="preserve"> </w:t>
      </w:r>
      <w:r>
        <w:rPr>
          <w:b/>
          <w:bCs/>
        </w:rPr>
        <w:t xml:space="preserve">integrating</w:t>
      </w:r>
      <w:r>
        <w:t xml:space="preserve"> </w:t>
      </w:r>
      <w:r>
        <w:t xml:space="preserve">specialist providers for e-sign, KYC, payments, valuation and demat rather than building them.</w:t>
      </w:r>
      <w:r>
        <w:t xml:space="preserve"> </w:t>
      </w:r>
      <w:r>
        <w:rPr>
          <w:i/>
          <w:iCs/>
        </w:rPr>
        <w:t xml:space="preserve">[Target — lifecycle logic is built; provider adapters await credentials; e-sign is simulated end-to-end.]</w:t>
      </w:r>
    </w:p>
    <w:p>
      <w:r>
        <w:pict>
          <v:rect style="width:0;height:1.5pt" o:hralign="center" o:hrstd="t" o:hr="t"/>
        </w:pict>
      </w:r>
    </w:p>
    <w:bookmarkEnd w:id="16"/>
    <w:bookmarkEnd w:id="17"/>
    <w:bookmarkStart w:id="18" w:name="Xee8e22863593e7bf85fcddfc66f1a286d998ba8"/>
    <w:p>
      <w:pPr>
        <w:pStyle w:val="Heading2"/>
      </w:pPr>
      <w:r>
        <w:t xml:space="preserve">2. Architectural Goals &amp; Constraints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Driver (from NFR)</w:t>
            </w:r>
          </w:p>
        </w:tc>
        <w:tc>
          <w:tcPr/>
          <w:p>
            <w:pPr>
              <w:pStyle w:val="Compact"/>
            </w:pPr>
            <w:r>
              <w:t xml:space="preserve">Architectural implication</w:t>
            </w:r>
          </w:p>
        </w:tc>
      </w:tr>
      <w:tr>
        <w:tc>
          <w:tcPr/>
          <w:p>
            <w:pPr>
              <w:pStyle w:val="Compact"/>
            </w:pPr>
            <w:r>
              <w:t xml:space="preserve">Single source of truth, traceability (NFR-7)</w:t>
            </w:r>
          </w:p>
        </w:tc>
        <w:tc>
          <w:tcPr/>
          <w:p>
            <w:pPr>
              <w:pStyle w:val="Compact"/>
            </w:pPr>
            <w:r>
              <w:t xml:space="preserve">Append-only transaction ledgers; derived snapshots; every record links to a source document.</w:t>
            </w:r>
          </w:p>
        </w:tc>
      </w:tr>
      <w:tr>
        <w:tc>
          <w:tcPr/>
          <w:p>
            <w:pPr>
              <w:pStyle w:val="Compact"/>
            </w:pPr>
            <w:r>
              <w:t xml:space="preserve">Auditability (NFR-4)</w:t>
            </w:r>
          </w:p>
        </w:tc>
        <w:tc>
          <w:tcPr/>
          <w:p>
            <w:pPr>
              <w:pStyle w:val="Compact"/>
            </w:pPr>
            <w:r>
              <w:t xml:space="preserve">Centralised immutable audit log; all mutations flow through the workflow/command layer.</w:t>
            </w:r>
          </w:p>
        </w:tc>
      </w:tr>
      <w:tr>
        <w:tc>
          <w:tcPr/>
          <w:p>
            <w:pPr>
              <w:pStyle w:val="Compact"/>
            </w:pPr>
            <w:r>
              <w:t xml:space="preserve">Security &amp; tenant isolation (NFR-1, 11)</w:t>
            </w:r>
          </w:p>
        </w:tc>
        <w:tc>
          <w:tcPr/>
          <w:p>
            <w:pPr>
              <w:pStyle w:val="Compact"/>
            </w:pPr>
            <w:r>
              <w:t xml:space="preserve">Tenant-scoped data access enforced at the data layer; least-privilege RBAC; encryption at rest/in transit.</w:t>
            </w:r>
          </w:p>
        </w:tc>
      </w:tr>
      <w:tr>
        <w:tc>
          <w:tcPr/>
          <w:p>
            <w:pPr>
              <w:pStyle w:val="Compact"/>
            </w:pPr>
            <w:r>
              <w:t xml:space="preserve">Data residency &amp; privacy (NFR-2, 3)</w:t>
            </w:r>
          </w:p>
        </w:tc>
        <w:tc>
          <w:tcPr/>
          <w:p>
            <w:pPr>
              <w:pStyle w:val="Compact"/>
            </w:pPr>
            <w:r>
              <w:t xml:space="preserve">India region pinning; DPDP consent/retention; PII segregation.</w:t>
            </w:r>
          </w:p>
        </w:tc>
      </w:tr>
      <w:tr>
        <w:tc>
          <w:tcPr/>
          <w:p>
            <w:pPr>
              <w:pStyle w:val="Compact"/>
            </w:pPr>
            <w:r>
              <w:t xml:space="preserve">Availability 99.9% (NFR-5)</w:t>
            </w:r>
          </w:p>
        </w:tc>
        <w:tc>
          <w:tcPr/>
          <w:p>
            <w:pPr>
              <w:pStyle w:val="Compact"/>
            </w:pPr>
            <w:r>
              <w:t xml:space="preserve">Stateless services, managed Postgres with HA, multi-zone Cloud Run.</w:t>
            </w:r>
          </w:p>
        </w:tc>
      </w:tr>
      <w:tr>
        <w:tc>
          <w:tcPr/>
          <w:p>
            <w:pPr>
              <w:pStyle w:val="Compact"/>
            </w:pPr>
            <w:r>
              <w:t xml:space="preserve">Regulation changes often</w:t>
            </w:r>
          </w:p>
        </w:tc>
        <w:tc>
          <w:tcPr/>
          <w:p>
            <w:pPr>
              <w:pStyle w:val="Compact"/>
            </w:pPr>
            <w:r>
              <w:t xml:space="preserve">Rules (forms, deadlines, valuation methods) externalised as</w:t>
            </w:r>
            <w:r>
              <w:t xml:space="preserve"> </w:t>
            </w:r>
            <w:r>
              <w:rPr>
                <w:b/>
                <w:bCs/>
              </w:rPr>
              <w:t xml:space="preserve">data/config</w:t>
            </w:r>
            <w:r>
              <w:t xml:space="preserve">, not hard-coded.</w:t>
            </w:r>
          </w:p>
        </w:tc>
      </w:tr>
      <w:tr>
        <w:tc>
          <w:tcPr/>
          <w:p>
            <w:pPr>
              <w:pStyle w:val="Compact"/>
            </w:pPr>
            <w:r>
              <w:t xml:space="preserve">Two personas, many modules</w:t>
            </w:r>
          </w:p>
        </w:tc>
        <w:tc>
          <w:tcPr/>
          <w:p>
            <w:pPr>
              <w:pStyle w:val="Compact"/>
            </w:pPr>
            <w:r>
              <w:t xml:space="preserve">Modular decomposition with a shared core; module enable/disable per tenant type.</w:t>
            </w:r>
          </w:p>
        </w:tc>
      </w:tr>
    </w:tbl>
    <w:p>
      <w:pPr>
        <w:pStyle w:val="BodyText"/>
      </w:pPr>
      <w:r>
        <w:rPr>
          <w:b/>
          <w:bCs/>
        </w:rPr>
        <w:t xml:space="preserve">Key constraint:</w:t>
      </w:r>
      <w:r>
        <w:t xml:space="preserve"> </w:t>
      </w:r>
      <w:r>
        <w:t xml:space="preserve">statutory logic must be</w:t>
      </w:r>
      <w:r>
        <w:t xml:space="preserve"> </w:t>
      </w:r>
      <w:r>
        <w:rPr>
          <w:i/>
          <w:iCs/>
        </w:rPr>
        <w:t xml:space="preserve">versioned and config-driven</w:t>
      </w:r>
      <w:r>
        <w:t xml:space="preserve"> </w:t>
      </w:r>
      <w:r>
        <w:t xml:space="preserve">so that a change in the Companies Act, FEMA pricing, or SEBI AIF rules is a data update, not a code rewrite.</w:t>
      </w:r>
    </w:p>
    <w:p>
      <w:r>
        <w:pict>
          <v:rect style="width:0;height:1.5pt" o:hralign="center" o:hrstd="t" o:hr="t"/>
        </w:pict>
      </w:r>
    </w:p>
    <w:bookmarkEnd w:id="18"/>
    <w:bookmarkStart w:id="22" w:name="X43c0f9050e0a111ee33804b762f4b8fe9e21313"/>
    <w:p>
      <w:pPr>
        <w:pStyle w:val="Heading2"/>
      </w:pPr>
      <w:r>
        <w:t xml:space="preserve">3. Architecture Overview</w:t>
      </w:r>
    </w:p>
    <w:bookmarkStart w:id="19" w:name="X817f2230fb3f0ea68aa21b900e795afafb2843d"/>
    <w:p>
      <w:pPr>
        <w:pStyle w:val="Heading3"/>
      </w:pPr>
      <w:r>
        <w:t xml:space="preserve">3.1 Style</w:t>
      </w:r>
    </w:p>
    <w:p>
      <w:pPr>
        <w:pStyle w:val="FirstParagraph"/>
      </w:pPr>
      <w:r>
        <w:t xml:space="preserve">A</w:t>
      </w:r>
      <w:r>
        <w:t xml:space="preserve"> </w:t>
      </w:r>
      <w:r>
        <w:rPr>
          <w:b/>
          <w:bCs/>
        </w:rPr>
        <w:t xml:space="preserve">modular monolith with a service-oriented seam</w:t>
      </w:r>
      <w:r>
        <w:t xml:space="preserve"> </w:t>
      </w:r>
      <w:r>
        <w:t xml:space="preserve">— a single deployable backend organised into strongly-bounded modules (the A–T domains), fronted by an API gateway, with a small number of independently-scaled workers (async jobs, document rendering, e-sign callbacks). This avoids premature microservice sprawl while keeping clean module boundaries that can be peeled off into services later (e.g., the Fund Admin module, or Document rendering).</w:t>
      </w:r>
    </w:p>
    <w:p>
      <w:pPr>
        <w:pStyle w:val="BodyText"/>
      </w:pPr>
      <w:r>
        <w:t xml:space="preserve">Rationale: the domains share a dense relational core (the cap-table/party/document spine in §6 of requirements); a distributed model would force chatty cross-service joins early. Start modular-monolith; extract on proven scaling pressure.</w:t>
      </w:r>
    </w:p>
    <w:bookmarkEnd w:id="19"/>
    <w:bookmarkStart w:id="20" w:name="Xf3584fe931aee6a93ad19e56996d5ca488df701"/>
    <w:p>
      <w:pPr>
        <w:pStyle w:val="Heading3"/>
      </w:pPr>
      <w:r>
        <w:t xml:space="preserve">3.2 Logical view (C4 container level)</w:t>
      </w:r>
    </w:p>
    <w:p>
      <w:pPr>
        <w:pStyle w:val="SourceCode"/>
      </w:pPr>
      <w:r>
        <w:rPr>
          <w:rStyle w:val="VerbatimChar"/>
        </w:rPr>
        <w:t xml:space="preserve">                         ┌───────────────────────────────────────────┐</w:t>
      </w:r>
      <w:r>
        <w:br/>
      </w:r>
      <w:r>
        <w:rPr>
          <w:rStyle w:val="VerbatimChar"/>
        </w:rPr>
        <w:t xml:space="preserve">   Browser (React SPA)   │            Web / Mobile clients             │</w:t>
      </w:r>
      <w:r>
        <w:br/>
      </w:r>
      <w:r>
        <w:rPr>
          <w:rStyle w:val="VerbatimChar"/>
        </w:rPr>
        <w:t xml:space="preserve">   Investor/LP portal    └───────────────────┬─────────────────────────┘</w:t>
      </w:r>
      <w:r>
        <w:br/>
      </w:r>
      <w:r>
        <w:rPr>
          <w:rStyle w:val="VerbatimChar"/>
        </w:rPr>
        <w:t xml:space="preserve">                                              │ HTTPS / JSON</w:t>
      </w:r>
      <w:r>
        <w:br/>
      </w:r>
      <w:r>
        <w:rPr>
          <w:rStyle w:val="VerbatimChar"/>
        </w:rPr>
        <w:t xml:space="preserve">                                  ┌───────────▼───────────┐</w:t>
      </w:r>
      <w:r>
        <w:br/>
      </w:r>
      <w:r>
        <w:rPr>
          <w:rStyle w:val="VerbatimChar"/>
        </w:rPr>
        <w:t xml:space="preserve">                                  │     API Gateway        │  authn, rate-limit,</w:t>
      </w:r>
      <w:r>
        <w:br/>
      </w:r>
      <w:r>
        <w:rPr>
          <w:rStyle w:val="VerbatimChar"/>
        </w:rPr>
        <w:t xml:space="preserve">                                  │   (FastAPI edge)       │  tenant resolution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PAPER BACKEND (modular monolith)                            │</w:t>
      </w:r>
      <w:r>
        <w:br/>
      </w:r>
      <w:r>
        <w:rPr>
          <w:rStyle w:val="VerbatimChar"/>
        </w:rPr>
        <w:t xml:space="preserve">        │                                                                             │</w:t>
      </w:r>
      <w:r>
        <w:br/>
      </w:r>
      <w:r>
        <w:rPr>
          <w:rStyle w:val="VerbatimChar"/>
        </w:rPr>
        <w:t xml:space="preserve">        │  Domain modules (A–T):                                                      │</w:t>
      </w:r>
      <w:r>
        <w:br/>
      </w:r>
      <w:r>
        <w:rPr>
          <w:rStyle w:val="VerbatimChar"/>
        </w:rPr>
        <w:t xml:space="preserve">        │  Identity/RBAC · Entity · CapTable · ESOP · Fundraising · Governance ·      │</w:t>
      </w:r>
      <w:r>
        <w:br/>
      </w:r>
      <w:r>
        <w:rPr>
          <w:rStyle w:val="VerbatimChar"/>
        </w:rPr>
        <w:t xml:space="preserve">        │  Compliance · DataRoom · FundAdmin(AIF) · Valuation · CLM · Team · SPV      │</w:t>
      </w:r>
      <w:r>
        <w:br/>
      </w:r>
      <w:r>
        <w:rPr>
          <w:rStyle w:val="VerbatimChar"/>
        </w:rPr>
        <w:t xml:space="preserve">        │                                                                             │</w:t>
      </w:r>
      <w:r>
        <w:br/>
      </w:r>
      <w:r>
        <w:rPr>
          <w:rStyle w:val="VerbatimChar"/>
        </w:rPr>
        <w:t xml:space="preserve">        │  Cross-cutting platform services:                                           │</w:t>
      </w:r>
      <w:r>
        <w:br/>
      </w:r>
      <w:r>
        <w:rPr>
          <w:rStyle w:val="VerbatimChar"/>
        </w:rPr>
        <w:t xml:space="preserve">        │  ┌──────────────┐ ┌──────────────┐ ┌──────────────┐ ┌──────────────┐       │</w:t>
      </w:r>
      <w:r>
        <w:br/>
      </w:r>
      <w:r>
        <w:rPr>
          <w:rStyle w:val="VerbatimChar"/>
        </w:rPr>
        <w:t xml:space="preserve">        │  │ Workflow     │ │ Document &amp;    │ │ Notification │ │ Audit &amp;      │       │</w:t>
      </w:r>
      <w:r>
        <w:br/>
      </w:r>
      <w:r>
        <w:rPr>
          <w:rStyle w:val="VerbatimChar"/>
        </w:rPr>
        <w:t xml:space="preserve">        │  │ Engine (N)   │ │ Template svc  │ │ service      │ │ Activity log │       │</w:t>
      </w:r>
      <w:r>
        <w:br/>
      </w:r>
      <w:r>
        <w:rPr>
          <w:rStyle w:val="VerbatimChar"/>
        </w:rPr>
        <w:t xml:space="preserve">        │  └──────────────┘ └──────────────┘ └──────────────┘ └──────────────┘       │</w:t>
      </w:r>
      <w:r>
        <w:br/>
      </w:r>
      <w:r>
        <w:rPr>
          <w:rStyle w:val="VerbatimChar"/>
        </w:rPr>
        <w:t xml:space="preserve">        └───────┬───────────────────┬───────────────────┬───────────────┬────────────┘</w:t>
      </w:r>
      <w:r>
        <w:br/>
      </w:r>
      <w:r>
        <w:rPr>
          <w:rStyle w:val="VerbatimChar"/>
        </w:rPr>
        <w:t xml:space="preserve">                │                   │                   │               │</w:t>
      </w:r>
      <w:r>
        <w:br/>
      </w:r>
      <w:r>
        <w:rPr>
          <w:rStyle w:val="VerbatimChar"/>
        </w:rPr>
        <w:t xml:space="preserve">        ┌───────▼──────┐   ┌────────▼───────┐   ┌────────▼──────┐  ┌─────▼─────────┐</w:t>
      </w:r>
      <w:r>
        <w:br/>
      </w:r>
      <w:r>
        <w:rPr>
          <w:rStyle w:val="VerbatimChar"/>
        </w:rPr>
        <w:t xml:space="preserve">        │ PostgreSQL   │   │ Object storage │   │ Job queue +   │  │ Cache         │</w:t>
      </w:r>
      <w:r>
        <w:br/>
      </w:r>
      <w:r>
        <w:rPr>
          <w:rStyle w:val="VerbatimChar"/>
        </w:rPr>
        <w:t xml:space="preserve">        │ (primary +   │   │ (documents,    │   │ workers       │  │ (Redis)       │</w:t>
      </w:r>
      <w:r>
        <w:br/>
      </w:r>
      <w:r>
        <w:rPr>
          <w:rStyle w:val="VerbatimChar"/>
        </w:rPr>
        <w:t xml:space="preserve">        │  read replica)│   │  data room)    │   │ (Cloud Tasks)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   External Integration Adapters         │</w:t>
      </w:r>
      <w:r>
        <w:br/>
      </w:r>
      <w:r>
        <w:rPr>
          <w:rStyle w:val="VerbatimChar"/>
        </w:rPr>
        <w:t xml:space="preserve">                                  │  e-Sign · KYC/DigiLocker · MCA21 ·      │</w:t>
      </w:r>
      <w:r>
        <w:br/>
      </w:r>
      <w:r>
        <w:rPr>
          <w:rStyle w:val="VerbatimChar"/>
        </w:rPr>
        <w:t xml:space="preserve">                                  │  RBI FIRMS · Payments/escrow ·          │</w:t>
      </w:r>
      <w:r>
        <w:br/>
      </w:r>
      <w:r>
        <w:rPr>
          <w:rStyle w:val="VerbatimChar"/>
        </w:rPr>
        <w:t xml:space="preserve">                                  │  Accounting · Valuer · NSDL/CDSL        │</w:t>
      </w:r>
      <w:r>
        <w:br/>
      </w:r>
      <w:r>
        <w:rPr>
          <w:rStyle w:val="VerbatimChar"/>
        </w:rPr>
        <w:t xml:space="preserve">                                  └─────────────────────────────────────────┘</w:t>
      </w:r>
    </w:p>
    <w:bookmarkEnd w:id="20"/>
    <w:bookmarkStart w:id="21" w:name="Xc9a55fe2ef411405207a7d2b6d235a04b17bfcb"/>
    <w:p>
      <w:pPr>
        <w:pStyle w:val="Heading3"/>
      </w:pPr>
      <w:r>
        <w:t xml:space="preserve">3.3 Architectural layers</w:t>
      </w:r>
    </w:p>
    <w:p>
      <w:pPr>
        <w:pStyle w:val="Compact"/>
        <w:numPr>
          <w:ilvl w:val="0"/>
          <w:numId w:val="1003"/>
        </w:numPr>
      </w:pPr>
      <w:r>
        <w:rPr>
          <w:b/>
          <w:bCs/>
        </w:rPr>
        <w:t xml:space="preserve">Presentation</w:t>
      </w:r>
      <w:r>
        <w:t xml:space="preserve"> </w:t>
      </w:r>
      <w:r>
        <w:t xml:space="preserve">— React SPA (founder/CFO/CS app; fund GP/admin app; investor/LP portal as scoped views), server-driven workflow UI.</w:t>
      </w:r>
    </w:p>
    <w:p>
      <w:pPr>
        <w:pStyle w:val="Compact"/>
        <w:numPr>
          <w:ilvl w:val="0"/>
          <w:numId w:val="1003"/>
        </w:numPr>
      </w:pPr>
      <w:r>
        <w:rPr>
          <w:b/>
          <w:bCs/>
        </w:rPr>
        <w:t xml:space="preserve">API / application</w:t>
      </w:r>
      <w:r>
        <w:t xml:space="preserve"> </w:t>
      </w:r>
      <w:r>
        <w:t xml:space="preserve">— FastAPI gateway + per-module routers; command/query handlers; workflow orchestration.</w:t>
      </w:r>
    </w:p>
    <w:p>
      <w:pPr>
        <w:pStyle w:val="Compact"/>
        <w:numPr>
          <w:ilvl w:val="0"/>
          <w:numId w:val="1003"/>
        </w:numPr>
      </w:pPr>
      <w:r>
        <w:rPr>
          <w:b/>
          <w:bCs/>
        </w:rPr>
        <w:t xml:space="preserve">Domain</w:t>
      </w:r>
      <w:r>
        <w:t xml:space="preserve"> </w:t>
      </w:r>
      <w:r>
        <w:t xml:space="preserve">— module domain logic (cap-table math, waterfall, vesting, compliance-rule evaluation), persistence-agnostic.</w:t>
      </w:r>
    </w:p>
    <w:p>
      <w:pPr>
        <w:pStyle w:val="Compact"/>
        <w:numPr>
          <w:ilvl w:val="0"/>
          <w:numId w:val="1003"/>
        </w:numPr>
      </w:pPr>
      <w:r>
        <w:rPr>
          <w:b/>
          <w:bCs/>
        </w:rPr>
        <w:t xml:space="preserve">Data</w:t>
      </w:r>
      <w:r>
        <w:t xml:space="preserve"> </w:t>
      </w:r>
      <w:r>
        <w:t xml:space="preserve">— PostgreSQL (transactional + ledger), object storage (documents), Redis (cache/locks), search index.</w:t>
      </w:r>
    </w:p>
    <w:p>
      <w:pPr>
        <w:pStyle w:val="Compact"/>
        <w:numPr>
          <w:ilvl w:val="0"/>
          <w:numId w:val="1003"/>
        </w:numPr>
      </w:pPr>
      <w:r>
        <w:rPr>
          <w:b/>
          <w:bCs/>
        </w:rPr>
        <w:t xml:space="preserve">Integration</w:t>
      </w:r>
      <w:r>
        <w:t xml:space="preserve"> </w:t>
      </w:r>
      <w:r>
        <w:t xml:space="preserve">— adapter layer behind stable internal interfaces (anti-corruption layer per external provider).</w:t>
      </w:r>
    </w:p>
    <w:p>
      <w:r>
        <w:pict>
          <v:rect style="width:0;height:1.5pt" o:hralign="center" o:hrstd="t" o:hr="t"/>
        </w:pict>
      </w:r>
    </w:p>
    <w:bookmarkEnd w:id="21"/>
    <w:bookmarkEnd w:id="22"/>
    <w:bookmarkStart w:id="23" w:name="X2a17cacaee3332505db4dc3fa1754f1321cfdc7"/>
    <w:p>
      <w:pPr>
        <w:pStyle w:val="Heading2"/>
      </w:pPr>
      <w:r>
        <w:t xml:space="preserve">4. Module Decomposition</w:t>
      </w:r>
    </w:p>
    <w:p>
      <w:pPr>
        <w:pStyle w:val="FirstParagraph"/>
      </w:pPr>
      <w:r>
        <w:t xml:space="preserve">Each requirement module maps to a backend bounded context. Cross-cutting modules (N, M, T) are platform services every domain consumes.</w:t>
      </w:r>
      <w:r>
        <w:t xml:space="preserve"> </w:t>
      </w:r>
      <w:r>
        <w:rPr>
          <w:b/>
          <w:bCs/>
        </w:rPr>
        <w:t xml:space="preserve">[As built]</w:t>
      </w:r>
      <w:r>
        <w:t xml:space="preserve"> </w:t>
      </w:r>
      <w:r>
        <w:t xml:space="preserve">All 21 contexts below exist under</w:t>
      </w:r>
      <w:r>
        <w:t xml:space="preserve"> </w:t>
      </w:r>
      <w:r>
        <w:rPr>
          <w:rStyle w:val="VerbatimChar"/>
        </w:rPr>
        <w:t xml:space="preserve">apps/api/app/</w:t>
      </w:r>
      <w:r>
        <w:t xml:space="preserve"> </w:t>
      </w:r>
      <w:r>
        <w:t xml:space="preserve">(models + services + routes per context; 71 tables), plus module</w:t>
      </w:r>
      <w:r>
        <w:t xml:space="preserve"> </w:t>
      </w:r>
      <w:r>
        <w:rPr>
          <w:b/>
          <w:bCs/>
        </w:rPr>
        <w:t xml:space="preserve">U (Finance)</w:t>
      </w:r>
      <w:r>
        <w:t xml:space="preserve"> </w:t>
      </w:r>
      <w:r>
        <w:t xml:space="preserve">added in v1.0 of the requirements — runway/burn snapshots consumed by dashboards and the stage guide.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Module</w:t>
            </w:r>
          </w:p>
        </w:tc>
        <w:tc>
          <w:tcPr/>
          <w:p>
            <w:pPr>
              <w:pStyle w:val="Compact"/>
            </w:pPr>
            <w:r>
              <w:t xml:space="preserve">Bounded context</w:t>
            </w:r>
          </w:p>
        </w:tc>
        <w:tc>
          <w:tcPr/>
          <w:p>
            <w:pPr>
              <w:pStyle w:val="Compact"/>
            </w:pPr>
            <w:r>
              <w:t xml:space="preserve">Core responsibilities</w:t>
            </w:r>
          </w:p>
        </w:tc>
        <w:tc>
          <w:tcPr/>
          <w:p>
            <w:pPr>
              <w:pStyle w:val="Compact"/>
            </w:pPr>
            <w:r>
              <w:t xml:space="preserve">Depends on</w:t>
            </w:r>
          </w:p>
        </w:tc>
      </w:tr>
      <w:tr>
        <w:tc>
          <w:tcPr/>
          <w:p>
            <w:pPr>
              <w:pStyle w:val="Compact"/>
            </w:pPr>
            <w:r>
              <w:t xml:space="preserve">A</w:t>
            </w:r>
          </w:p>
        </w:tc>
        <w:tc>
          <w:tcPr/>
          <w:p>
            <w:pPr>
              <w:pStyle w:val="Compact"/>
            </w:pPr>
            <w:r>
              <w:rPr>
                <w:b/>
                <w:bCs/>
              </w:rPr>
              <w:t xml:space="preserve">Identity</w:t>
            </w:r>
          </w:p>
        </w:tc>
        <w:tc>
          <w:tcPr/>
          <w:p>
            <w:pPr>
              <w:pStyle w:val="Compact"/>
            </w:pPr>
            <w:r>
              <w:t xml:space="preserve">Tenants, users, memberships, RBAC, KYC profiles</w:t>
            </w:r>
          </w:p>
        </w:tc>
        <w:tc>
          <w:tcPr/>
          <w:p>
            <w:pPr>
              <w:pStyle w:val="Compact"/>
            </w:pPr>
            <w:r>
              <w:t xml:space="preserve">—</w:t>
            </w:r>
          </w:p>
        </w:tc>
      </w:tr>
      <w:tr>
        <w:tc>
          <w:tcPr/>
          <w:p>
            <w:pPr>
              <w:pStyle w:val="Compact"/>
            </w:pPr>
            <w:r>
              <w:t xml:space="preserve">B</w:t>
            </w:r>
          </w:p>
        </w:tc>
        <w:tc>
          <w:tcPr/>
          <w:p>
            <w:pPr>
              <w:pStyle w:val="Compact"/>
            </w:pPr>
            <w:r>
              <w:rPr>
                <w:b/>
                <w:bCs/>
              </w:rPr>
              <w:t xml:space="preserve">Entity</w:t>
            </w:r>
          </w:p>
        </w:tc>
        <w:tc>
          <w:tcPr/>
          <w:p>
            <w:pPr>
              <w:pStyle w:val="Compact"/>
            </w:pPr>
            <w:r>
              <w:t xml:space="preserve">Legal entities, corporate record, registers, registrations</w:t>
            </w:r>
          </w:p>
        </w:tc>
        <w:tc>
          <w:tcPr/>
          <w:p>
            <w:pPr>
              <w:pStyle w:val="Compact"/>
            </w:pPr>
            <w:r>
              <w:t xml:space="preserve">Identity, Document</w:t>
            </w:r>
          </w:p>
        </w:tc>
      </w:tr>
      <w:tr>
        <w:tc>
          <w:tcPr/>
          <w:p>
            <w:pPr>
              <w:pStyle w:val="Compact"/>
            </w:pPr>
            <w:r>
              <w:t xml:space="preserve">C</w:t>
            </w:r>
          </w:p>
        </w:tc>
        <w:tc>
          <w:tcPr/>
          <w:p>
            <w:pPr>
              <w:pStyle w:val="Compact"/>
            </w:pPr>
            <w:r>
              <w:rPr>
                <w:b/>
                <w:bCs/>
              </w:rPr>
              <w:t xml:space="preserve">CapTable</w:t>
            </w:r>
          </w:p>
        </w:tc>
        <w:tc>
          <w:tcPr/>
          <w:p>
            <w:pPr>
              <w:pStyle w:val="Compact"/>
            </w:pPr>
            <w:r>
              <w:t xml:space="preserve">Security classes, holdings, issuance ledger, snapshots, transfers, stamp duty</w:t>
            </w:r>
          </w:p>
        </w:tc>
        <w:tc>
          <w:tcPr/>
          <w:p>
            <w:pPr>
              <w:pStyle w:val="Compact"/>
            </w:pPr>
            <w:r>
              <w:t xml:space="preserve">Entity, Document, Workflow</w:t>
            </w:r>
          </w:p>
        </w:tc>
      </w:tr>
      <w:tr>
        <w:tc>
          <w:tcPr/>
          <w:p>
            <w:pPr>
              <w:pStyle w:val="Compact"/>
            </w:pPr>
            <w:r>
              <w:t xml:space="preserve">D</w:t>
            </w:r>
          </w:p>
        </w:tc>
        <w:tc>
          <w:tcPr/>
          <w:p>
            <w:pPr>
              <w:pStyle w:val="Compact"/>
            </w:pPr>
            <w:r>
              <w:rPr>
                <w:b/>
                <w:bCs/>
              </w:rPr>
              <w:t xml:space="preserve">ESOP</w:t>
            </w:r>
          </w:p>
        </w:tc>
        <w:tc>
          <w:tcPr/>
          <w:p>
            <w:pPr>
              <w:pStyle w:val="Compact"/>
            </w:pPr>
            <w:r>
              <w:t xml:space="preserve">Schemes, grants, vesting, exercise</w:t>
            </w:r>
          </w:p>
        </w:tc>
        <w:tc>
          <w:tcPr/>
          <w:p>
            <w:pPr>
              <w:pStyle w:val="Compact"/>
            </w:pPr>
            <w:r>
              <w:t xml:space="preserve">CapTable, Valuation</w:t>
            </w:r>
          </w:p>
        </w:tc>
      </w:tr>
      <w:tr>
        <w:tc>
          <w:tcPr/>
          <w:p>
            <w:pPr>
              <w:pStyle w:val="Compact"/>
            </w:pPr>
            <w:r>
              <w:t xml:space="preserve">E</w:t>
            </w:r>
          </w:p>
        </w:tc>
        <w:tc>
          <w:tcPr/>
          <w:p>
            <w:pPr>
              <w:pStyle w:val="Compact"/>
            </w:pPr>
            <w:r>
              <w:rPr>
                <w:b/>
                <w:bCs/>
              </w:rPr>
              <w:t xml:space="preserve">Fundraising</w:t>
            </w:r>
          </w:p>
        </w:tc>
        <w:tc>
          <w:tcPr/>
          <w:p>
            <w:pPr>
              <w:pStyle w:val="Compact"/>
            </w:pPr>
            <w:r>
              <w:t xml:space="preserve">Rounds, term sheets, commitments, deal docs, closing</w:t>
            </w:r>
          </w:p>
        </w:tc>
        <w:tc>
          <w:tcPr/>
          <w:p>
            <w:pPr>
              <w:pStyle w:val="Compact"/>
            </w:pPr>
            <w:r>
              <w:t xml:space="preserve">CapTable, DataRoom, Compliance</w:t>
            </w:r>
          </w:p>
        </w:tc>
      </w:tr>
      <w:tr>
        <w:tc>
          <w:tcPr/>
          <w:p>
            <w:pPr>
              <w:pStyle w:val="Compact"/>
            </w:pPr>
            <w:r>
              <w:t xml:space="preserve">F</w:t>
            </w:r>
          </w:p>
        </w:tc>
        <w:tc>
          <w:tcPr/>
          <w:p>
            <w:pPr>
              <w:pStyle w:val="Compact"/>
            </w:pPr>
            <w:r>
              <w:rPr>
                <w:b/>
                <w:bCs/>
              </w:rPr>
              <w:t xml:space="preserve">Document</w:t>
            </w:r>
            <w:r>
              <w:t xml:space="preserve"> </w:t>
            </w:r>
            <w:r>
              <w:t xml:space="preserve">(platform)</w:t>
            </w:r>
          </w:p>
        </w:tc>
        <w:tc>
          <w:tcPr/>
          <w:p>
            <w:pPr>
              <w:pStyle w:val="Compact"/>
            </w:pPr>
            <w:r>
              <w:t xml:space="preserve">Templates, generation/merge, versions, e-sign orchestration</w:t>
            </w:r>
          </w:p>
        </w:tc>
        <w:tc>
          <w:tcPr/>
          <w:p>
            <w:pPr>
              <w:pStyle w:val="Compact"/>
            </w:pPr>
            <w:r>
              <w:t xml:space="preserve">Workflow, Integration</w:t>
            </w:r>
          </w:p>
        </w:tc>
      </w:tr>
      <w:tr>
        <w:tc>
          <w:tcPr/>
          <w:p>
            <w:pPr>
              <w:pStyle w:val="Compact"/>
            </w:pPr>
            <w:r>
              <w:t xml:space="preserve">G</w:t>
            </w:r>
          </w:p>
        </w:tc>
        <w:tc>
          <w:tcPr/>
          <w:p>
            <w:pPr>
              <w:pStyle w:val="Compact"/>
            </w:pPr>
            <w:r>
              <w:rPr>
                <w:b/>
                <w:bCs/>
              </w:rPr>
              <w:t xml:space="preserve">Governance</w:t>
            </w:r>
          </w:p>
        </w:tc>
        <w:tc>
          <w:tcPr/>
          <w:p>
            <w:pPr>
              <w:pStyle w:val="Compact"/>
            </w:pPr>
            <w:r>
              <w:t xml:space="preserve">Meetings, resolutions, consents, indemnification</w:t>
            </w:r>
          </w:p>
        </w:tc>
        <w:tc>
          <w:tcPr/>
          <w:p>
            <w:pPr>
              <w:pStyle w:val="Compact"/>
            </w:pPr>
            <w:r>
              <w:t xml:space="preserve">Entity, Document</w:t>
            </w:r>
          </w:p>
        </w:tc>
      </w:tr>
      <w:tr>
        <w:tc>
          <w:tcPr/>
          <w:p>
            <w:pPr>
              <w:pStyle w:val="Compact"/>
            </w:pPr>
            <w:r>
              <w:t xml:space="preserve">H</w:t>
            </w:r>
          </w:p>
        </w:tc>
        <w:tc>
          <w:tcPr/>
          <w:p>
            <w:pPr>
              <w:pStyle w:val="Compact"/>
            </w:pPr>
            <w:r>
              <w:rPr>
                <w:b/>
                <w:bCs/>
              </w:rPr>
              <w:t xml:space="preserve">Compliance</w:t>
            </w:r>
          </w:p>
        </w:tc>
        <w:tc>
          <w:tcPr/>
          <w:p>
            <w:pPr>
              <w:pStyle w:val="Compact"/>
            </w:pPr>
            <w:r>
              <w:t xml:space="preserve">Obligation generation, filing tasks, FEMA/ROC prep, calendar</w:t>
            </w:r>
          </w:p>
        </w:tc>
        <w:tc>
          <w:tcPr/>
          <w:p>
            <w:pPr>
              <w:pStyle w:val="Compact"/>
            </w:pPr>
            <w:r>
              <w:t xml:space="preserve">Entity, Valuation, Notification</w:t>
            </w:r>
          </w:p>
        </w:tc>
      </w:tr>
      <w:tr>
        <w:tc>
          <w:tcPr/>
          <w:p>
            <w:pPr>
              <w:pStyle w:val="Compact"/>
            </w:pPr>
            <w:r>
              <w:t xml:space="preserve">I</w:t>
            </w:r>
          </w:p>
        </w:tc>
        <w:tc>
          <w:tcPr/>
          <w:p>
            <w:pPr>
              <w:pStyle w:val="Compact"/>
            </w:pPr>
            <w:r>
              <w:rPr>
                <w:b/>
                <w:bCs/>
              </w:rPr>
              <w:t xml:space="preserve">DataRoom</w:t>
            </w:r>
          </w:p>
        </w:tc>
        <w:tc>
          <w:tcPr/>
          <w:p>
            <w:pPr>
              <w:pStyle w:val="Compact"/>
            </w:pPr>
            <w:r>
              <w:t xml:space="preserve">Rooms, access grants, engagement analytics</w:t>
            </w:r>
          </w:p>
        </w:tc>
        <w:tc>
          <w:tcPr/>
          <w:p>
            <w:pPr>
              <w:pStyle w:val="Compact"/>
            </w:pPr>
            <w:r>
              <w:t xml:space="preserve">Document, Entity</w:t>
            </w:r>
          </w:p>
        </w:tc>
      </w:tr>
      <w:tr>
        <w:tc>
          <w:tcPr/>
          <w:p>
            <w:pPr>
              <w:pStyle w:val="Compact"/>
            </w:pPr>
            <w:r>
              <w:t xml:space="preserve">J</w:t>
            </w:r>
          </w:p>
        </w:tc>
        <w:tc>
          <w:tcPr/>
          <w:p>
            <w:pPr>
              <w:pStyle w:val="Compact"/>
            </w:pPr>
            <w:r>
              <w:rPr>
                <w:b/>
                <w:bCs/>
              </w:rPr>
              <w:t xml:space="preserve">FundAdmin</w:t>
            </w:r>
          </w:p>
        </w:tc>
        <w:tc>
          <w:tcPr/>
          <w:p>
            <w:pPr>
              <w:pStyle w:val="Compact"/>
            </w:pPr>
            <w:r>
              <w:t xml:space="preserve">Funds, LPs, commitments, capital accounts, calls, distributions, portfolio</w:t>
            </w:r>
          </w:p>
        </w:tc>
        <w:tc>
          <w:tcPr/>
          <w:p>
            <w:pPr>
              <w:pStyle w:val="Compact"/>
            </w:pPr>
            <w:r>
              <w:t xml:space="preserve">Identity, Document, Compliance</w:t>
            </w:r>
          </w:p>
        </w:tc>
      </w:tr>
      <w:tr>
        <w:tc>
          <w:tcPr/>
          <w:p>
            <w:pPr>
              <w:pStyle w:val="Compact"/>
            </w:pPr>
            <w:r>
              <w:t xml:space="preserve">K</w:t>
            </w:r>
          </w:p>
        </w:tc>
        <w:tc>
          <w:tcPr/>
          <w:p>
            <w:pPr>
              <w:pStyle w:val="Compact"/>
            </w:pPr>
            <w:r>
              <w:rPr>
                <w:b/>
                <w:bCs/>
              </w:rPr>
              <w:t xml:space="preserve">Portal</w:t>
            </w:r>
          </w:p>
        </w:tc>
        <w:tc>
          <w:tcPr/>
          <w:p>
            <w:pPr>
              <w:pStyle w:val="Compact"/>
            </w:pPr>
            <w:r>
              <w:t xml:space="preserve">Investor/LP dashboards, updates, statements</w:t>
            </w:r>
          </w:p>
        </w:tc>
        <w:tc>
          <w:tcPr/>
          <w:p>
            <w:pPr>
              <w:pStyle w:val="Compact"/>
            </w:pPr>
            <w:r>
              <w:t xml:space="preserve">CapTable, FundAdmin, Document</w:t>
            </w:r>
          </w:p>
        </w:tc>
      </w:tr>
      <w:tr>
        <w:tc>
          <w:tcPr/>
          <w:p>
            <w:pPr>
              <w:pStyle w:val="Compact"/>
            </w:pPr>
            <w:r>
              <w:t xml:space="preserve">L</w:t>
            </w:r>
          </w:p>
        </w:tc>
        <w:tc>
          <w:tcPr/>
          <w:p>
            <w:pPr>
              <w:pStyle w:val="Compact"/>
            </w:pPr>
            <w:r>
              <w:rPr>
                <w:b/>
                <w:bCs/>
              </w:rPr>
              <w:t xml:space="preserve">Valuation</w:t>
            </w:r>
          </w:p>
        </w:tc>
        <w:tc>
          <w:tcPr/>
          <w:p>
            <w:pPr>
              <w:pStyle w:val="Compact"/>
            </w:pPr>
            <w:r>
              <w:t xml:space="preserve">Valuation requests/reports, method/rule tracking</w:t>
            </w:r>
          </w:p>
        </w:tc>
        <w:tc>
          <w:tcPr/>
          <w:p>
            <w:pPr>
              <w:pStyle w:val="Compact"/>
            </w:pPr>
            <w:r>
              <w:t xml:space="preserve">Entity, Integration</w:t>
            </w:r>
          </w:p>
        </w:tc>
      </w:tr>
      <w:tr>
        <w:tc>
          <w:tcPr/>
          <w:p>
            <w:pPr>
              <w:pStyle w:val="Compact"/>
            </w:pPr>
            <w:r>
              <w:t xml:space="preserve">M</w:t>
            </w:r>
          </w:p>
        </w:tc>
        <w:tc>
          <w:tcPr/>
          <w:p>
            <w:pPr>
              <w:pStyle w:val="Compact"/>
            </w:pPr>
            <w:r>
              <w:rPr>
                <w:b/>
                <w:bCs/>
              </w:rPr>
              <w:t xml:space="preserve">Integration</w:t>
            </w:r>
            <w:r>
              <w:t xml:space="preserve"> </w:t>
            </w:r>
            <w:r>
              <w:t xml:space="preserve">(platform)</w:t>
            </w:r>
          </w:p>
        </w:tc>
        <w:tc>
          <w:tcPr/>
          <w:p>
            <w:pPr>
              <w:pStyle w:val="Compact"/>
            </w:pPr>
            <w:r>
              <w:t xml:space="preserve">Adapters, webhooks, audit</w:t>
            </w:r>
          </w:p>
        </w:tc>
        <w:tc>
          <w:tcPr/>
          <w:p>
            <w:pPr>
              <w:pStyle w:val="Compact"/>
            </w:pPr>
            <w:r>
              <w:t xml:space="preserve">all</w:t>
            </w:r>
          </w:p>
        </w:tc>
      </w:tr>
      <w:tr>
        <w:tc>
          <w:tcPr/>
          <w:p>
            <w:pPr>
              <w:pStyle w:val="Compact"/>
            </w:pPr>
            <w:r>
              <w:t xml:space="preserve">N</w:t>
            </w:r>
          </w:p>
        </w:tc>
        <w:tc>
          <w:tcPr/>
          <w:p>
            <w:pPr>
              <w:pStyle w:val="Compact"/>
            </w:pPr>
            <w:r>
              <w:rPr>
                <w:b/>
                <w:bCs/>
              </w:rPr>
              <w:t xml:space="preserve">Workflow</w:t>
            </w:r>
            <w:r>
              <w:t xml:space="preserve"> </w:t>
            </w:r>
            <w:r>
              <w:t xml:space="preserve">(platform)</w:t>
            </w:r>
          </w:p>
        </w:tc>
        <w:tc>
          <w:tcPr/>
          <w:p>
            <w:pPr>
              <w:pStyle w:val="Compact"/>
            </w:pPr>
            <w:r>
              <w:t xml:space="preserve">Workflow definitions/runs/steps engine</w:t>
            </w:r>
          </w:p>
        </w:tc>
        <w:tc>
          <w:tcPr/>
          <w:p>
            <w:pPr>
              <w:pStyle w:val="Compact"/>
            </w:pPr>
            <w:r>
              <w:t xml:space="preserve">all</w:t>
            </w:r>
          </w:p>
        </w:tc>
      </w:tr>
      <w:tr>
        <w:tc>
          <w:tcPr/>
          <w:p>
            <w:pPr>
              <w:pStyle w:val="Compact"/>
            </w:pPr>
            <w:r>
              <w:t xml:space="preserve">O</w:t>
            </w:r>
          </w:p>
        </w:tc>
        <w:tc>
          <w:tcPr/>
          <w:p>
            <w:pPr>
              <w:pStyle w:val="Compact"/>
            </w:pPr>
            <w:r>
              <w:rPr>
                <w:b/>
                <w:bCs/>
              </w:rPr>
              <w:t xml:space="preserve">Services</w:t>
            </w:r>
          </w:p>
        </w:tc>
        <w:tc>
          <w:tcPr/>
          <w:p>
            <w:pPr>
              <w:pStyle w:val="Compact"/>
            </w:pPr>
            <w:r>
              <w:t xml:space="preserve">Partner network, engagements</w:t>
            </w:r>
          </w:p>
        </w:tc>
        <w:tc>
          <w:tcPr/>
          <w:p>
            <w:pPr>
              <w:pStyle w:val="Compact"/>
            </w:pPr>
            <w:r>
              <w:t xml:space="preserve">Identity, Document</w:t>
            </w:r>
          </w:p>
        </w:tc>
      </w:tr>
      <w:tr>
        <w:tc>
          <w:tcPr/>
          <w:p>
            <w:pPr>
              <w:pStyle w:val="Compact"/>
            </w:pPr>
            <w:r>
              <w:t xml:space="preserve">P</w:t>
            </w:r>
          </w:p>
        </w:tc>
        <w:tc>
          <w:tcPr/>
          <w:p>
            <w:pPr>
              <w:pStyle w:val="Compact"/>
            </w:pPr>
            <w:r>
              <w:rPr>
                <w:b/>
                <w:bCs/>
              </w:rPr>
              <w:t xml:space="preserve">ManagedAdmin</w:t>
            </w:r>
          </w:p>
        </w:tc>
        <w:tc>
          <w:tcPr/>
          <w:p>
            <w:pPr>
              <w:pStyle w:val="Compact"/>
            </w:pPr>
            <w:r>
              <w:t xml:space="preserve">Subscriptions, touchpoints, audit engagements</w:t>
            </w:r>
          </w:p>
        </w:tc>
        <w:tc>
          <w:tcPr/>
          <w:p>
            <w:pPr>
              <w:pStyle w:val="Compact"/>
            </w:pPr>
            <w:r>
              <w:t xml:space="preserve">all</w:t>
            </w:r>
          </w:p>
        </w:tc>
      </w:tr>
      <w:tr>
        <w:tc>
          <w:tcPr/>
          <w:p>
            <w:pPr>
              <w:pStyle w:val="Compact"/>
            </w:pPr>
            <w:r>
              <w:t xml:space="preserve">Q</w:t>
            </w:r>
          </w:p>
        </w:tc>
        <w:tc>
          <w:tcPr/>
          <w:p>
            <w:pPr>
              <w:pStyle w:val="Compact"/>
            </w:pPr>
            <w:r>
              <w:rPr>
                <w:b/>
                <w:bCs/>
              </w:rPr>
              <w:t xml:space="preserve">CLM</w:t>
            </w:r>
          </w:p>
        </w:tc>
        <w:tc>
          <w:tcPr/>
          <w:p>
            <w:pPr>
              <w:pStyle w:val="Compact"/>
            </w:pPr>
            <w:r>
              <w:t xml:space="preserve">Counterparties, contracts, obligations</w:t>
            </w:r>
          </w:p>
        </w:tc>
        <w:tc>
          <w:tcPr/>
          <w:p>
            <w:pPr>
              <w:pStyle w:val="Compact"/>
            </w:pPr>
            <w:r>
              <w:t xml:space="preserve">Document</w:t>
            </w:r>
          </w:p>
        </w:tc>
      </w:tr>
      <w:tr>
        <w:tc>
          <w:tcPr/>
          <w:p>
            <w:pPr>
              <w:pStyle w:val="Compact"/>
            </w:pPr>
            <w:r>
              <w:t xml:space="preserve">R</w:t>
            </w:r>
          </w:p>
        </w:tc>
        <w:tc>
          <w:tcPr/>
          <w:p>
            <w:pPr>
              <w:pStyle w:val="Compact"/>
            </w:pPr>
            <w:r>
              <w:rPr>
                <w:b/>
                <w:bCs/>
              </w:rPr>
              <w:t xml:space="preserve">Team</w:t>
            </w:r>
          </w:p>
        </w:tc>
        <w:tc>
          <w:tcPr/>
          <w:p>
            <w:pPr>
              <w:pStyle w:val="Compact"/>
            </w:pPr>
            <w:r>
              <w:t xml:space="preserve">Team registry, HR-legal docs</w:t>
            </w:r>
          </w:p>
        </w:tc>
        <w:tc>
          <w:tcPr/>
          <w:p>
            <w:pPr>
              <w:pStyle w:val="Compact"/>
            </w:pPr>
            <w:r>
              <w:t xml:space="preserve">Identity, ESOP, Document</w:t>
            </w:r>
          </w:p>
        </w:tc>
      </w:tr>
      <w:tr>
        <w:tc>
          <w:tcPr/>
          <w:p>
            <w:pPr>
              <w:pStyle w:val="Compact"/>
            </w:pPr>
            <w:r>
              <w:t xml:space="preserve">S</w:t>
            </w:r>
          </w:p>
        </w:tc>
        <w:tc>
          <w:tcPr/>
          <w:p>
            <w:pPr>
              <w:pStyle w:val="Compact"/>
            </w:pPr>
            <w:r>
              <w:rPr>
                <w:b/>
                <w:bCs/>
              </w:rPr>
              <w:t xml:space="preserve">SPV</w:t>
            </w:r>
          </w:p>
        </w:tc>
        <w:tc>
          <w:tcPr/>
          <w:p>
            <w:pPr>
              <w:pStyle w:val="Compact"/>
            </w:pPr>
            <w:r>
              <w:t xml:space="preserve">Single-deal vehicles (reuses FundAdmin primitives)</w:t>
            </w:r>
          </w:p>
        </w:tc>
        <w:tc>
          <w:tcPr/>
          <w:p>
            <w:pPr>
              <w:pStyle w:val="Compact"/>
            </w:pPr>
            <w:r>
              <w:t xml:space="preserve">FundAdmin</w:t>
            </w:r>
          </w:p>
        </w:tc>
      </w:tr>
      <w:tr>
        <w:tc>
          <w:tcPr/>
          <w:p>
            <w:pPr>
              <w:pStyle w:val="Compact"/>
            </w:pPr>
            <w:r>
              <w:t xml:space="preserve">T</w:t>
            </w:r>
          </w:p>
        </w:tc>
        <w:tc>
          <w:tcPr/>
          <w:p>
            <w:pPr>
              <w:pStyle w:val="Compact"/>
            </w:pPr>
            <w:r>
              <w:rPr>
                <w:b/>
                <w:bCs/>
              </w:rPr>
              <w:t xml:space="preserve">Workspace/Reporting</w:t>
            </w:r>
            <w:r>
              <w:t xml:space="preserve"> </w:t>
            </w:r>
            <w:r>
              <w:t xml:space="preserve">(platform)</w:t>
            </w:r>
          </w:p>
        </w:tc>
        <w:tc>
          <w:tcPr/>
          <w:p>
            <w:pPr>
              <w:pStyle w:val="Compact"/>
            </w:pPr>
            <w:r>
              <w:t xml:space="preserve">Workspaces, file cabinet, dashboards, tax records, reports,</w:t>
            </w:r>
            <w:r>
              <w:t xml:space="preserve"> </w:t>
            </w:r>
            <w:r>
              <w:rPr>
                <w:b/>
                <w:bCs/>
              </w:rPr>
              <w:t xml:space="preserve">stage-guided workspace</w:t>
            </w:r>
          </w:p>
        </w:tc>
        <w:tc>
          <w:tcPr/>
          <w:p>
            <w:pPr>
              <w:pStyle w:val="Compact"/>
            </w:pPr>
            <w:r>
              <w:t xml:space="preserve">all</w:t>
            </w:r>
          </w:p>
        </w:tc>
      </w:tr>
      <w:tr>
        <w:tc>
          <w:tcPr/>
          <w:p>
            <w:pPr>
              <w:pStyle w:val="Compact"/>
            </w:pPr>
            <w:r>
              <w:t xml:space="preserve">U</w:t>
            </w:r>
          </w:p>
        </w:tc>
        <w:tc>
          <w:tcPr/>
          <w:p>
            <w:pPr>
              <w:pStyle w:val="Compact"/>
            </w:pPr>
            <w:r>
              <w:rPr>
                <w:b/>
                <w:bCs/>
              </w:rPr>
              <w:t xml:space="preserve">Finance</w:t>
            </w:r>
            <w:r>
              <w:t xml:space="preserve"> </w:t>
            </w:r>
            <w:r>
              <w:rPr>
                <w:i/>
                <w:iCs/>
              </w:rPr>
              <w:t xml:space="preserve">(added v1.0)</w:t>
            </w:r>
          </w:p>
        </w:tc>
        <w:tc>
          <w:tcPr/>
          <w:p>
            <w:pPr>
              <w:pStyle w:val="Compact"/>
            </w:pPr>
            <w:r>
              <w:t xml:space="preserve">Monthly cash/burn/revenue snapshots, runway</w:t>
            </w:r>
          </w:p>
        </w:tc>
        <w:tc>
          <w:tcPr/>
          <w:p>
            <w:pPr>
              <w:pStyle w:val="Compact"/>
            </w:pPr>
            <w:r>
              <w:t xml:space="preserve">Entity</w:t>
            </w:r>
          </w:p>
        </w:tc>
      </w:tr>
    </w:tbl>
    <w:p>
      <w:pPr>
        <w:pStyle w:val="BodyText"/>
      </w:pPr>
      <w:r>
        <w:rPr>
          <w:b/>
          <w:bCs/>
        </w:rPr>
        <w:t xml:space="preserve">[As built] additions within the contexts above:</w:t>
      </w:r>
      <w:r>
        <w:t xml:space="preserve"> </w:t>
      </w:r>
      <w:r>
        <w:t xml:space="preserve">CapTable also owns the</w:t>
      </w:r>
      <w:r>
        <w:t xml:space="preserve"> </w:t>
      </w:r>
      <w:r>
        <w:rPr>
          <w:b/>
          <w:bCs/>
        </w:rPr>
        <w:t xml:space="preserve">fully-diluted projection</w:t>
      </w:r>
      <w:r>
        <w:t xml:space="preserve"> </w:t>
      </w:r>
      <w:r>
        <w:t xml:space="preserve">and</w:t>
      </w:r>
      <w:r>
        <w:t xml:space="preserve"> </w:t>
      </w:r>
      <w:r>
        <w:rPr>
          <w:b/>
          <w:bCs/>
        </w:rPr>
        <w:t xml:space="preserve">anti-dilution</w:t>
      </w:r>
      <w:r>
        <w:t xml:space="preserve"> </w:t>
      </w:r>
      <w:r>
        <w:t xml:space="preserve">terms/calculator; Fundraising owns</w:t>
      </w:r>
      <w:r>
        <w:t xml:space="preserve"> </w:t>
      </w:r>
      <w:r>
        <w:rPr>
          <w:b/>
          <w:bCs/>
        </w:rPr>
        <w:t xml:space="preserve">SAFEs/notes with the Sec 42 offeree guardrail</w:t>
      </w:r>
      <w:r>
        <w:t xml:space="preserve"> </w:t>
      </w:r>
      <w:r>
        <w:t xml:space="preserve">and</w:t>
      </w:r>
      <w:r>
        <w:t xml:space="preserve"> </w:t>
      </w:r>
      <w:r>
        <w:rPr>
          <w:b/>
          <w:bCs/>
        </w:rPr>
        <w:t xml:space="preserve">investor kinds</w:t>
      </w:r>
      <w:r>
        <w:t xml:space="preserve"> </w:t>
      </w:r>
      <w:r>
        <w:t xml:space="preserve">(friends &amp; family / angel / institutional); FundAdmin owns</w:t>
      </w:r>
      <w:r>
        <w:t xml:space="preserve"> </w:t>
      </w:r>
      <w:r>
        <w:rPr>
          <w:b/>
          <w:bCs/>
        </w:rPr>
        <w:t xml:space="preserve">performance (DPI/RVPI/TVPI/XIRR), portfolio marks, unitised NAV, fee accrual+charging, the deal pipeline and Form 64C/64D</w:t>
      </w:r>
      <w:r>
        <w:t xml:space="preserve">; Portal owns</w:t>
      </w:r>
      <w:r>
        <w:t xml:space="preserve"> </w:t>
      </w:r>
      <w:r>
        <w:rPr>
          <w:b/>
          <w:bCs/>
        </w:rPr>
        <w:t xml:space="preserve">investor consents</w:t>
      </w:r>
      <w:r>
        <w:t xml:space="preserve"> </w:t>
      </w:r>
      <w:r>
        <w:t xml:space="preserve">and</w:t>
      </w:r>
      <w:r>
        <w:t xml:space="preserve"> </w:t>
      </w:r>
      <w:r>
        <w:rPr>
          <w:b/>
          <w:bCs/>
        </w:rPr>
        <w:t xml:space="preserve">secondary-sale (ROFR) requests</w:t>
      </w:r>
      <w:r>
        <w:t xml:space="preserve">; Workspace owns the</w:t>
      </w:r>
      <w:r>
        <w:t xml:space="preserve"> </w:t>
      </w:r>
      <w:r>
        <w:rPr>
          <w:b/>
          <w:bCs/>
        </w:rPr>
        <w:t xml:space="preserve">stage registry</w:t>
      </w:r>
      <w:r>
        <w:t xml:space="preserve"> </w:t>
      </w:r>
      <w:r>
        <w:t xml:space="preserve">(</w:t>
      </w:r>
      <w:r>
        <w:rPr>
          <w:rStyle w:val="VerbatimChar"/>
        </w:rPr>
        <w:t xml:space="preserve">app/stages.py</w:t>
      </w:r>
      <w:r>
        <w:t xml:space="preserve">) that drives progressive disclosure.</w:t>
      </w:r>
    </w:p>
    <w:p>
      <w:r>
        <w:pict>
          <v:rect style="width:0;height:1.5pt" o:hralign="center" o:hrstd="t" o:hr="t"/>
        </w:pict>
      </w:r>
    </w:p>
    <w:bookmarkEnd w:id="23"/>
    <w:bookmarkStart w:id="24" w:name="Xc47465cb8dca4bd5a4094d5007764f55b56fc02"/>
    <w:p>
      <w:pPr>
        <w:pStyle w:val="Heading2"/>
      </w:pPr>
      <w:r>
        <w:t xml:space="preserve">5. Technology Stack</w:t>
      </w:r>
    </w:p>
    <w:p>
      <w:pPr>
        <w:pStyle w:val="FirstParagraph"/>
      </w:pPr>
      <w:r>
        <w:rPr>
          <w:b/>
          <w:bCs/>
        </w:rPr>
        <w:t xml:space="preserve">[As built]</w:t>
      </w:r>
      <w:r>
        <w:t xml:space="preserve"> </w:t>
      </w:r>
      <w:r>
        <w:t xml:space="preserve">FastAPI + SQLAlchemy 2.0 + Pydantic v2; React 18 + Vite + TypeScript with a plain typed</w:t>
      </w:r>
      <w:r>
        <w:t xml:space="preserve"> </w:t>
      </w:r>
      <w:r>
        <w:rPr>
          <w:rStyle w:val="VerbatimChar"/>
        </w:rPr>
        <w:t xml:space="preserve">fetch</w:t>
      </w:r>
      <w:r>
        <w:t xml:space="preserve"> </w:t>
      </w:r>
      <w:r>
        <w:t xml:space="preserve">client (no component library or TanStack Query yet — deliberate minimalism); vitest + Testing Library on the frontend, pytest (174 tests) on the backend; Alembic for schema evolution; SQLite in dev, Postgres-ready. Rows marked</w:t>
      </w:r>
      <w:r>
        <w:t xml:space="preserve"> </w:t>
      </w:r>
      <w:r>
        <w:rPr>
          <w:i/>
          <w:iCs/>
        </w:rPr>
        <w:t xml:space="preserve">(target)</w:t>
      </w:r>
      <w:r>
        <w:t xml:space="preserve"> </w:t>
      </w:r>
      <w:r>
        <w:t xml:space="preserve">below await deployment.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Choice</w:t>
            </w:r>
          </w:p>
        </w:tc>
        <w:tc>
          <w:tcPr/>
          <w:p>
            <w:pPr>
              <w:pStyle w:val="Compact"/>
            </w:pPr>
            <w:r>
              <w:t xml:space="preserve">Rationale</w:t>
            </w:r>
          </w:p>
        </w:tc>
      </w:tr>
      <w:tr>
        <w:tc>
          <w:tcPr/>
          <w:p>
            <w:pPr>
              <w:pStyle w:val="Compact"/>
            </w:pPr>
            <w:r>
              <w:t xml:space="preserve">Frontend</w:t>
            </w:r>
          </w:p>
        </w:tc>
        <w:tc>
          <w:tcPr/>
          <w:p>
            <w:pPr>
              <w:pStyle w:val="Compact"/>
            </w:pPr>
            <w:r>
              <w:t xml:space="preserve">React + Vite + TypeScript; component lib (e.g., MUI); TanStack Query</w:t>
            </w:r>
          </w:p>
        </w:tc>
        <w:tc>
          <w:tcPr/>
          <w:p>
            <w:pPr>
              <w:pStyle w:val="Compact"/>
            </w:pPr>
            <w:r>
              <w:t xml:space="preserve">Org standard; SPA with role-scoped views.</w:t>
            </w:r>
          </w:p>
        </w:tc>
      </w:tr>
      <w:tr>
        <w:tc>
          <w:tcPr/>
          <w:p>
            <w:pPr>
              <w:pStyle w:val="Compact"/>
            </w:pPr>
            <w:r>
              <w:t xml:space="preserve">API</w:t>
            </w:r>
          </w:p>
        </w:tc>
        <w:tc>
          <w:tcPr/>
          <w:p>
            <w:pPr>
              <w:pStyle w:val="Compact"/>
            </w:pPr>
            <w:r>
              <w:t xml:space="preserve">FastAPI (Python 3.12+), Pydantic v2, async</w:t>
            </w:r>
          </w:p>
        </w:tc>
        <w:tc>
          <w:tcPr/>
          <w:p>
            <w:pPr>
              <w:pStyle w:val="Compact"/>
            </w:pPr>
            <w:r>
              <w:t xml:space="preserve">Org standard; strong typing, OpenAPI out of the box.</w:t>
            </w:r>
          </w:p>
        </w:tc>
      </w:tr>
      <w:tr>
        <w:tc>
          <w:tcPr/>
          <w:p>
            <w:pPr>
              <w:pStyle w:val="Compact"/>
            </w:pPr>
            <w:r>
              <w:t xml:space="preserve">Domain logic</w:t>
            </w:r>
          </w:p>
        </w:tc>
        <w:tc>
          <w:tcPr/>
          <w:p>
            <w:pPr>
              <w:pStyle w:val="Compact"/>
            </w:pPr>
            <w:r>
              <w:t xml:space="preserve">Python services;</w:t>
            </w:r>
            <w:r>
              <w:t xml:space="preserve"> </w:t>
            </w:r>
            <w:r>
              <w:rPr>
                <w:rStyle w:val="VerbatimChar"/>
              </w:rPr>
              <w:t xml:space="preserve">decimal</w:t>
            </w:r>
            <w:r>
              <w:t xml:space="preserve">-based money/share math</w:t>
            </w:r>
          </w:p>
        </w:tc>
        <w:tc>
          <w:tcPr/>
          <w:p>
            <w:pPr>
              <w:pStyle w:val="Compact"/>
            </w:pPr>
            <w:r>
              <w:t xml:space="preserve">Precision-critical cap-table &amp; waterfall computations.</w:t>
            </w:r>
          </w:p>
        </w:tc>
      </w:tr>
      <w:tr>
        <w:tc>
          <w:tcPr/>
          <w:p>
            <w:pPr>
              <w:pStyle w:val="Compact"/>
            </w:pPr>
            <w:r>
              <w:t xml:space="preserve">Primary DB</w:t>
            </w:r>
          </w:p>
        </w:tc>
        <w:tc>
          <w:tcPr/>
          <w:p>
            <w:pPr>
              <w:pStyle w:val="Compact"/>
            </w:pPr>
            <w:r>
              <w:t xml:space="preserve">PostgreSQL 16 (Cloud SQL HA) + read replica</w:t>
            </w:r>
            <w:r>
              <w:t xml:space="preserve"> </w:t>
            </w:r>
            <w:r>
              <w:rPr>
                <w:i/>
                <w:iCs/>
              </w:rPr>
              <w:t xml:space="preserve">(target; SQLite in dev)</w:t>
            </w:r>
          </w:p>
        </w:tc>
        <w:tc>
          <w:tcPr/>
          <w:p>
            <w:pPr>
              <w:pStyle w:val="Compact"/>
            </w:pPr>
            <w:r>
              <w:t xml:space="preserve">Relational core, JSONB for flexible terms, row-level security for tenant isolation.</w:t>
            </w:r>
          </w:p>
        </w:tc>
      </w:tr>
      <w:tr>
        <w:tc>
          <w:tcPr/>
          <w:p>
            <w:pPr>
              <w:pStyle w:val="Compact"/>
            </w:pPr>
            <w:r>
              <w:t xml:space="preserve">Object storage</w:t>
            </w:r>
          </w:p>
        </w:tc>
        <w:tc>
          <w:tcPr/>
          <w:p>
            <w:pPr>
              <w:pStyle w:val="Compact"/>
            </w:pPr>
            <w:r>
              <w:t xml:space="preserve">GCS buckets (India region), per-tenant prefixes, CMEK</w:t>
            </w:r>
            <w:r>
              <w:t xml:space="preserve"> </w:t>
            </w:r>
            <w:r>
              <w:rPr>
                <w:i/>
                <w:iCs/>
              </w:rPr>
              <w:t xml:space="preserve">(target; documents render as text in-DB today)</w:t>
            </w:r>
          </w:p>
        </w:tc>
        <w:tc>
          <w:tcPr/>
          <w:p>
            <w:pPr>
              <w:pStyle w:val="Compact"/>
            </w:pPr>
            <w:r>
              <w:t xml:space="preserve">Documents, data-room files, signed PDFs.</w:t>
            </w:r>
          </w:p>
        </w:tc>
      </w:tr>
      <w:tr>
        <w:tc>
          <w:tcPr/>
          <w:p>
            <w:pPr>
              <w:pStyle w:val="Compact"/>
            </w:pPr>
            <w:r>
              <w:t xml:space="preserve">Cache / locks</w:t>
            </w:r>
          </w:p>
        </w:tc>
        <w:tc>
          <w:tcPr/>
          <w:p>
            <w:pPr>
              <w:pStyle w:val="Compact"/>
            </w:pPr>
            <w:r>
              <w:t xml:space="preserve">Redis (Memorystore)</w:t>
            </w:r>
            <w:r>
              <w:t xml:space="preserve"> </w:t>
            </w:r>
            <w:r>
              <w:rPr>
                <w:i/>
                <w:iCs/>
              </w:rPr>
              <w:t xml:space="preserve">(target; login rate-limiter is in-memory today)</w:t>
            </w:r>
          </w:p>
        </w:tc>
        <w:tc>
          <w:tcPr/>
          <w:p>
            <w:pPr>
              <w:pStyle w:val="Compact"/>
            </w:pPr>
            <w:r>
              <w:t xml:space="preserve">Session, rate-limit, distributed locks for ledger writes.</w:t>
            </w:r>
          </w:p>
        </w:tc>
      </w:tr>
      <w:tr>
        <w:tc>
          <w:tcPr/>
          <w:p>
            <w:pPr>
              <w:pStyle w:val="Compact"/>
            </w:pPr>
            <w:r>
              <w:t xml:space="preserve">Async / jobs</w:t>
            </w:r>
          </w:p>
        </w:tc>
        <w:tc>
          <w:tcPr/>
          <w:p>
            <w:pPr>
              <w:pStyle w:val="Compact"/>
            </w:pPr>
            <w:r>
              <w:t xml:space="preserve">Cloud Tasks + worker Cloud Run service</w:t>
            </w:r>
            <w:r>
              <w:t xml:space="preserve"> </w:t>
            </w:r>
            <w:r>
              <w:rPr>
                <w:i/>
                <w:iCs/>
              </w:rPr>
              <w:t xml:space="preserve">(target; alert sweep is an endpoint today)</w:t>
            </w:r>
          </w:p>
        </w:tc>
        <w:tc>
          <w:tcPr/>
          <w:p>
            <w:pPr>
              <w:pStyle w:val="Compact"/>
            </w:pPr>
            <w:r>
              <w:t xml:space="preserve">e-sign callbacks, doc rendering, reminders, report generation.</w:t>
            </w:r>
          </w:p>
        </w:tc>
      </w:tr>
      <w:tr>
        <w:tc>
          <w:tcPr/>
          <w:p>
            <w:pPr>
              <w:pStyle w:val="Compact"/>
            </w:pPr>
            <w:r>
              <w:t xml:space="preserve">Search</w:t>
            </w:r>
          </w:p>
        </w:tc>
        <w:tc>
          <w:tcPr/>
          <w:p>
            <w:pPr>
              <w:pStyle w:val="Compact"/>
            </w:pPr>
            <w:r>
              <w:t xml:space="preserve">Postgres FTS initially; OpenSearch if needed</w:t>
            </w:r>
          </w:p>
        </w:tc>
        <w:tc>
          <w:tcPr/>
          <w:p>
            <w:pPr>
              <w:pStyle w:val="Compact"/>
            </w:pPr>
            <w:r>
              <w:t xml:space="preserve">Document/file-cabinet search.</w:t>
            </w:r>
          </w:p>
        </w:tc>
      </w:tr>
      <w:tr>
        <w:tc>
          <w:tcPr/>
          <w:p>
            <w:pPr>
              <w:pStyle w:val="Compact"/>
            </w:pPr>
            <w:r>
              <w:t xml:space="preserve">Document rendering</w:t>
            </w:r>
          </w:p>
        </w:tc>
        <w:tc>
          <w:tcPr/>
          <w:p>
            <w:pPr>
              <w:pStyle w:val="Compact"/>
            </w:pPr>
            <w:r>
              <w:t xml:space="preserve">HTML/template → PDF (headless renderer); DOCX via templating</w:t>
            </w:r>
          </w:p>
        </w:tc>
        <w:tc>
          <w:tcPr/>
          <w:p>
            <w:pPr>
              <w:pStyle w:val="Compact"/>
            </w:pPr>
            <w:r>
              <w:t xml:space="preserve">Template merge (FR-F-2).</w:t>
            </w:r>
          </w:p>
        </w:tc>
      </w:tr>
      <w:tr>
        <w:tc>
          <w:tcPr/>
          <w:p>
            <w:pPr>
              <w:pStyle w:val="Compact"/>
            </w:pPr>
            <w:r>
              <w:t xml:space="preserve">Workflow</w:t>
            </w:r>
          </w:p>
        </w:tc>
        <w:tc>
          <w:tcPr/>
          <w:p>
            <w:pPr>
              <w:pStyle w:val="Compact"/>
            </w:pPr>
            <w:r>
              <w:t xml:space="preserve">In-house lightweight engine (definitions as data)</w:t>
            </w:r>
          </w:p>
        </w:tc>
        <w:tc>
          <w:tcPr/>
          <w:p>
            <w:pPr>
              <w:pStyle w:val="Compact"/>
            </w:pPr>
            <w:r>
              <w:t xml:space="preserve">Backbone for FR-N; avoids heavyweight BPM.</w:t>
            </w:r>
          </w:p>
        </w:tc>
      </w:tr>
      <w:tr>
        <w:tc>
          <w:tcPr/>
          <w:p>
            <w:pPr>
              <w:pStyle w:val="Compact"/>
            </w:pPr>
            <w:r>
              <w:t xml:space="preserve">AuthN</w:t>
            </w:r>
          </w:p>
        </w:tc>
        <w:tc>
          <w:tcPr/>
          <w:p>
            <w:pPr>
              <w:pStyle w:val="Compact"/>
            </w:pPr>
            <w:r>
              <w:t xml:space="preserve">OIDC/SSO + email-OTP; MFA</w:t>
            </w:r>
          </w:p>
        </w:tc>
        <w:tc>
          <w:tcPr/>
          <w:p>
            <w:pPr>
              <w:pStyle w:val="Compact"/>
            </w:pPr>
            <w:r>
              <w:t xml:space="preserve">FR-A-3.</w:t>
            </w:r>
          </w:p>
        </w:tc>
      </w:tr>
      <w:tr>
        <w:tc>
          <w:tcPr/>
          <w:p>
            <w:pPr>
              <w:pStyle w:val="Compact"/>
            </w:pPr>
            <w:r>
              <w:t xml:space="preserve">Infra</w:t>
            </w:r>
          </w:p>
        </w:tc>
        <w:tc>
          <w:tcPr/>
          <w:p>
            <w:pPr>
              <w:pStyle w:val="Compact"/>
            </w:pPr>
            <w:r>
              <w:t xml:space="preserve">GCP Cloud Run, Cloud SQL, GCS, Cloud Tasks, Secret Manager</w:t>
            </w:r>
          </w:p>
        </w:tc>
        <w:tc>
          <w:tcPr/>
          <w:p>
            <w:pPr>
              <w:pStyle w:val="Compact"/>
            </w:pPr>
            <w:r>
              <w:t xml:space="preserve">Org standard; serverless scaling.</w:t>
            </w:r>
          </w:p>
        </w:tc>
      </w:tr>
      <w:tr>
        <w:tc>
          <w:tcPr/>
          <w:p>
            <w:pPr>
              <w:pStyle w:val="Compact"/>
            </w:pPr>
            <w:r>
              <w:t xml:space="preserve">CI/CD</w:t>
            </w:r>
          </w:p>
        </w:tc>
        <w:tc>
          <w:tcPr/>
          <w:p>
            <w:pPr>
              <w:pStyle w:val="Compact"/>
            </w:pPr>
            <w:r>
              <w:t xml:space="preserve">GitHub Actions + Workload Identity Federation</w:t>
            </w:r>
          </w:p>
        </w:tc>
        <w:tc>
          <w:tcPr/>
          <w:p>
            <w:pPr>
              <w:pStyle w:val="Compact"/>
            </w:pPr>
            <w:r>
              <w:t xml:space="preserve">Org standard (matches SMS/CyberAI pattern).</w:t>
            </w:r>
          </w:p>
        </w:tc>
      </w:tr>
      <w:tr>
        <w:tc>
          <w:tcPr/>
          <w:p>
            <w:pPr>
              <w:pStyle w:val="Compact"/>
            </w:pPr>
            <w:r>
              <w:t xml:space="preserve">IaC</w:t>
            </w:r>
          </w:p>
        </w:tc>
        <w:tc>
          <w:tcPr/>
          <w:p>
            <w:pPr>
              <w:pStyle w:val="Compact"/>
            </w:pPr>
            <w:r>
              <w:t xml:space="preserve">Terraform</w:t>
            </w:r>
          </w:p>
        </w:tc>
        <w:tc>
          <w:tcPr/>
          <w:p>
            <w:pPr>
              <w:pStyle w:val="Compact"/>
            </w:pPr>
            <w:r>
              <w:t xml:space="preserve">Reproducible environments.</w:t>
            </w:r>
          </w:p>
        </w:tc>
      </w:tr>
      <w:tr>
        <w:tc>
          <w:tcPr/>
          <w:p>
            <w:pPr>
              <w:pStyle w:val="Compact"/>
            </w:pPr>
            <w:r>
              <w:t xml:space="preserve">Observability</w:t>
            </w:r>
          </w:p>
        </w:tc>
        <w:tc>
          <w:tcPr/>
          <w:p>
            <w:pPr>
              <w:pStyle w:val="Compact"/>
            </w:pPr>
            <w:r>
              <w:t xml:space="preserve">Cloud Logging/Monitoring/Trace; structured logs</w:t>
            </w:r>
          </w:p>
        </w:tc>
        <w:tc>
          <w:tcPr/>
          <w:p>
            <w:pPr>
              <w:pStyle w:val="Compact"/>
            </w:pPr>
            <w:r>
              <w:t xml:space="preserve">NFR-5 ops.</w:t>
            </w:r>
          </w:p>
        </w:tc>
      </w:tr>
    </w:tbl>
    <w:p>
      <w:r>
        <w:pict>
          <v:rect style="width:0;height:1.5pt" o:hralign="center" o:hrstd="t" o:hr="t"/>
        </w:pict>
      </w:r>
    </w:p>
    <w:bookmarkEnd w:id="24"/>
    <w:bookmarkStart w:id="31" w:name="X9e55b3d3cefb61f21823ded8c92669578c6fb2b"/>
    <w:p>
      <w:pPr>
        <w:pStyle w:val="Heading2"/>
      </w:pPr>
      <w:r>
        <w:t xml:space="preserve">6. Data Architecture</w:t>
      </w:r>
    </w:p>
    <w:bookmarkStart w:id="25" w:name="Xbd9c7f107189e97f31d9c6a7a2b65477f355b62"/>
    <w:p>
      <w:pPr>
        <w:pStyle w:val="Heading3"/>
      </w:pPr>
      <w:r>
        <w:t xml:space="preserve">6.1 Stores</w:t>
      </w:r>
    </w:p>
    <w:p>
      <w:pPr>
        <w:pStyle w:val="Compact"/>
        <w:numPr>
          <w:ilvl w:val="0"/>
          <w:numId w:val="1004"/>
        </w:numPr>
      </w:pPr>
      <w:r>
        <w:rPr>
          <w:b/>
          <w:bCs/>
        </w:rPr>
        <w:t xml:space="preserve">PostgreSQL (system of record):</w:t>
      </w:r>
      <w:r>
        <w:t xml:space="preserve"> </w:t>
      </w:r>
      <w:r>
        <w:t xml:space="preserve">all structured domain data — the party/entity/cap-table/fund spine from</w:t>
      </w:r>
      <w:r>
        <w:t xml:space="preserve"> </w:t>
      </w:r>
      <w:r>
        <w:rPr>
          <w:rStyle w:val="VerbatimChar"/>
        </w:rPr>
        <w:t xml:space="preserve">REQUIREMENTS.md §6</w:t>
      </w:r>
      <w:r>
        <w:t xml:space="preserve">. JSONB for variable instrument terms and workflow step payloads.</w:t>
      </w:r>
    </w:p>
    <w:p>
      <w:pPr>
        <w:pStyle w:val="Compact"/>
        <w:numPr>
          <w:ilvl w:val="0"/>
          <w:numId w:val="1004"/>
        </w:numPr>
      </w:pPr>
      <w:r>
        <w:rPr>
          <w:b/>
          <w:bCs/>
        </w:rPr>
        <w:t xml:space="preserve">Object storage (GCS):</w:t>
      </w:r>
      <w:r>
        <w:t xml:space="preserve"> </w:t>
      </w:r>
      <w:r>
        <w:t xml:space="preserve">immutable document blobs and data-room files; DB holds metadata + references; signed-PDF originals retained for tamper evidence.</w:t>
      </w:r>
    </w:p>
    <w:p>
      <w:pPr>
        <w:pStyle w:val="Compact"/>
        <w:numPr>
          <w:ilvl w:val="0"/>
          <w:numId w:val="1004"/>
        </w:numPr>
      </w:pPr>
      <w:r>
        <w:rPr>
          <w:b/>
          <w:bCs/>
        </w:rPr>
        <w:t xml:space="preserve">Redis:</w:t>
      </w:r>
      <w:r>
        <w:t xml:space="preserve"> </w:t>
      </w:r>
      <w:r>
        <w:t xml:space="preserve">ephemeral cache and locks.</w:t>
      </w:r>
    </w:p>
    <w:p>
      <w:pPr>
        <w:pStyle w:val="Compact"/>
        <w:numPr>
          <w:ilvl w:val="0"/>
          <w:numId w:val="1004"/>
        </w:numPr>
      </w:pPr>
      <w:r>
        <w:rPr>
          <w:b/>
          <w:bCs/>
        </w:rPr>
        <w:t xml:space="preserve">Search index:</w:t>
      </w:r>
      <w:r>
        <w:t xml:space="preserve"> </w:t>
      </w:r>
      <w:r>
        <w:t xml:space="preserve">document/contract/file-cabinet full-text.</w:t>
      </w:r>
    </w:p>
    <w:bookmarkEnd w:id="25"/>
    <w:bookmarkStart w:id="26" w:name="X52b3ae6a8490a5d059c146e2c3d8fc1d02cc2ff"/>
    <w:p>
      <w:pPr>
        <w:pStyle w:val="Heading3"/>
      </w:pPr>
      <w:r>
        <w:t xml:space="preserve">6.2 Multi-tenancy</w:t>
      </w:r>
    </w:p>
    <w:p>
      <w:pPr>
        <w:pStyle w:val="Compact"/>
        <w:numPr>
          <w:ilvl w:val="0"/>
          <w:numId w:val="1005"/>
        </w:numPr>
      </w:pPr>
      <w:r>
        <w:rPr>
          <w:b/>
          <w:bCs/>
        </w:rPr>
        <w:t xml:space="preserve">Shared schema, tenant-scoped rows</w:t>
      </w:r>
      <w:r>
        <w:t xml:space="preserve"> </w:t>
      </w:r>
      <w:r>
        <w:t xml:space="preserve">with a mandatory</w:t>
      </w:r>
      <w:r>
        <w:t xml:space="preserve"> </w:t>
      </w:r>
      <w:r>
        <w:rPr>
          <w:rStyle w:val="VerbatimChar"/>
        </w:rPr>
        <w:t xml:space="preserve">tenant_id</w:t>
      </w:r>
      <w:r>
        <w:t xml:space="preserve"> </w:t>
      </w:r>
      <w:r>
        <w:t xml:space="preserve">and</w:t>
      </w:r>
      <w:r>
        <w:t xml:space="preserve"> </w:t>
      </w:r>
      <w:r>
        <w:rPr>
          <w:b/>
          <w:bCs/>
        </w:rPr>
        <w:t xml:space="preserve">PostgreSQL Row-Level Security</w:t>
      </w:r>
      <w:r>
        <w:t xml:space="preserve"> </w:t>
      </w:r>
      <w:r>
        <w:t xml:space="preserve">policies — defence-in-depth so an application bug cannot leak cross-tenant data.</w:t>
      </w:r>
    </w:p>
    <w:p>
      <w:pPr>
        <w:pStyle w:val="Compact"/>
        <w:numPr>
          <w:ilvl w:val="0"/>
          <w:numId w:val="1005"/>
        </w:numPr>
      </w:pPr>
      <w:r>
        <w:t xml:space="preserve">Object storage partitioned by tenant prefix with per-tenant CMEK keys.</w:t>
      </w:r>
    </w:p>
    <w:p>
      <w:pPr>
        <w:pStyle w:val="Compact"/>
        <w:numPr>
          <w:ilvl w:val="0"/>
          <w:numId w:val="1005"/>
        </w:numPr>
      </w:pPr>
      <w:r>
        <w:rPr>
          <w:b/>
          <w:bCs/>
        </w:rPr>
        <w:t xml:space="preserve">Cross-tenant linkage</w:t>
      </w:r>
      <w:r>
        <w:t xml:space="preserve"> </w:t>
      </w:r>
      <w:r>
        <w:t xml:space="preserve">(fund ↔ portfolio company cap table) handled by an explicit, consent-gated</w:t>
      </w:r>
      <w:r>
        <w:t xml:space="preserve"> </w:t>
      </w:r>
      <w:r>
        <w:rPr>
          <w:i/>
          <w:iCs/>
        </w:rPr>
        <w:t xml:space="preserve">sharing grant</w:t>
      </w:r>
      <w:r>
        <w:t xml:space="preserve"> </w:t>
      </w:r>
      <w:r>
        <w:t xml:space="preserve">rather than shared rows.</w:t>
      </w:r>
    </w:p>
    <w:bookmarkEnd w:id="26"/>
    <w:bookmarkStart w:id="27" w:name="Xf195d1f8bd12bb695c8f67b45b86af54ed73918"/>
    <w:p>
      <w:pPr>
        <w:pStyle w:val="Heading3"/>
      </w:pPr>
      <w:r>
        <w:t xml:space="preserve">6.3 Ledger &amp; snapshot pattern</w:t>
      </w:r>
    </w:p>
    <w:p>
      <w:pPr>
        <w:pStyle w:val="FirstParagraph"/>
      </w:pPr>
      <w:r>
        <w:t xml:space="preserve">Cap-table and capital-account state are</w:t>
      </w:r>
      <w:r>
        <w:t xml:space="preserve"> </w:t>
      </w:r>
      <w:r>
        <w:rPr>
          <w:b/>
          <w:bCs/>
        </w:rPr>
        <w:t xml:space="preserve">derived</w:t>
      </w:r>
      <w:r>
        <w:t xml:space="preserve">, not stored as mutable balances:</w:t>
      </w:r>
    </w:p>
    <w:p>
      <w:pPr>
        <w:pStyle w:val="Compact"/>
        <w:numPr>
          <w:ilvl w:val="0"/>
          <w:numId w:val="1006"/>
        </w:numPr>
      </w:pPr>
      <w:r>
        <w:t xml:space="preserve">Append-only</w:t>
      </w:r>
      <w:r>
        <w:t xml:space="preserve"> </w:t>
      </w:r>
      <w:r>
        <w:rPr>
          <w:rStyle w:val="VerbatimChar"/>
        </w:rPr>
        <w:t xml:space="preserve">IssuanceTransaction</w:t>
      </w:r>
      <w:r>
        <w:t xml:space="preserve"> </w:t>
      </w:r>
      <w:r>
        <w:t xml:space="preserve">/</w:t>
      </w:r>
      <w:r>
        <w:t xml:space="preserve"> </w:t>
      </w:r>
      <w:r>
        <w:rPr>
          <w:rStyle w:val="VerbatimChar"/>
        </w:rPr>
        <w:t xml:space="preserve">Transfer</w:t>
      </w:r>
      <w:r>
        <w:t xml:space="preserve"> </w:t>
      </w:r>
      <w:r>
        <w:t xml:space="preserve">/</w:t>
      </w:r>
      <w:r>
        <w:t xml:space="preserve"> </w:t>
      </w:r>
      <w:r>
        <w:rPr>
          <w:rStyle w:val="VerbatimChar"/>
        </w:rPr>
        <w:t xml:space="preserve">ConversionEvent</w:t>
      </w:r>
      <w:r>
        <w:t xml:space="preserve"> </w:t>
      </w:r>
      <w:r>
        <w:t xml:space="preserve">/</w:t>
      </w:r>
      <w:r>
        <w:t xml:space="preserve"> </w:t>
      </w:r>
      <w:r>
        <w:rPr>
          <w:rStyle w:val="VerbatimChar"/>
        </w:rPr>
        <w:t xml:space="preserve">Buyback</w:t>
      </w:r>
      <w:r>
        <w:t xml:space="preserve"> </w:t>
      </w:r>
      <w:r>
        <w:t xml:space="preserve">/</w:t>
      </w:r>
      <w:r>
        <w:t xml:space="preserve"> </w:t>
      </w:r>
      <w:r>
        <w:rPr>
          <w:rStyle w:val="VerbatimChar"/>
        </w:rPr>
        <w:t xml:space="preserve">CorporateAction</w:t>
      </w:r>
      <w:r>
        <w:t xml:space="preserve"> </w:t>
      </w:r>
      <w:r>
        <w:t xml:space="preserve">/ rights events (CapTable) and</w:t>
      </w:r>
      <w:r>
        <w:t xml:space="preserve"> </w:t>
      </w:r>
      <w:r>
        <w:rPr>
          <w:rStyle w:val="VerbatimChar"/>
        </w:rPr>
        <w:t xml:space="preserve">DrawdownNotice</w:t>
      </w:r>
      <w:r>
        <w:t xml:space="preserve"> </w:t>
      </w:r>
      <w:r>
        <w:t xml:space="preserve">/</w:t>
      </w:r>
      <w:r>
        <w:t xml:space="preserve"> </w:t>
      </w:r>
      <w:r>
        <w:rPr>
          <w:rStyle w:val="VerbatimChar"/>
        </w:rPr>
        <w:t xml:space="preserve">Distribution</w:t>
      </w:r>
      <w:r>
        <w:t xml:space="preserve"> </w:t>
      </w:r>
      <w:r>
        <w:t xml:space="preserve">/</w:t>
      </w:r>
      <w:r>
        <w:t xml:space="preserve"> </w:t>
      </w:r>
      <w:r>
        <w:rPr>
          <w:rStyle w:val="VerbatimChar"/>
        </w:rPr>
        <w:t xml:space="preserve">FeeCharge</w:t>
      </w:r>
      <w:r>
        <w:t xml:space="preserve"> </w:t>
      </w:r>
      <w:r>
        <w:t xml:space="preserve">events (FundAdmin).</w:t>
      </w:r>
    </w:p>
    <w:p>
      <w:pPr>
        <w:pStyle w:val="Compact"/>
        <w:numPr>
          <w:ilvl w:val="0"/>
          <w:numId w:val="1006"/>
        </w:numPr>
      </w:pPr>
      <w:r>
        <w:rPr>
          <w:b/>
          <w:bCs/>
        </w:rPr>
        <w:t xml:space="preserve">[As built]</w:t>
      </w:r>
      <w:r>
        <w:t xml:space="preserve"> </w:t>
      </w:r>
      <w:r>
        <w:t xml:space="preserve">Projections are computed on read rather than materialised: the cap table (and its fully-diluted variant), capital accounts, fund performance and the liquidation waterfall all replay the ledger chronologically with</w:t>
      </w:r>
      <w:r>
        <w:t xml:space="preserve"> </w:t>
      </w:r>
      <w:r>
        <w:rPr>
          <w:b/>
          <w:bCs/>
        </w:rPr>
        <w:t xml:space="preserve">cost basis following the shares</w:t>
      </w:r>
      <w:r>
        <w:t xml:space="preserve">; nothing is stored as a balance. Deterministic ordering is guaranteed by microsecond Python-side timestamps (</w:t>
      </w:r>
      <w:r>
        <w:rPr>
          <w:rStyle w:val="VerbatimChar"/>
        </w:rPr>
        <w:t xml:space="preserve">app/clock.py</w:t>
      </w:r>
      <w:r>
        <w:t xml:space="preserve">, IST).</w:t>
      </w:r>
    </w:p>
    <w:p>
      <w:pPr>
        <w:pStyle w:val="Compact"/>
        <w:numPr>
          <w:ilvl w:val="0"/>
          <w:numId w:val="1006"/>
        </w:numPr>
      </w:pPr>
      <w:r>
        <w:t xml:space="preserve">Guarantees NFR-7 traceability and supports time-travel ("cap table as of date X").</w:t>
      </w:r>
    </w:p>
    <w:bookmarkEnd w:id="27"/>
    <w:bookmarkStart w:id="28" w:name="X56543ce81d46c7a8ef0804b5d7670f0cce56a40"/>
    <w:p>
      <w:pPr>
        <w:pStyle w:val="Heading3"/>
      </w:pPr>
      <w:r>
        <w:t xml:space="preserve">6.4 Document as first-class object</w:t>
      </w:r>
    </w:p>
    <w:p>
      <w:pPr>
        <w:pStyle w:val="FirstParagraph"/>
      </w:pPr>
      <w:r>
        <w:rPr>
          <w:rStyle w:val="VerbatimChar"/>
        </w:rPr>
        <w:t xml:space="preserve">Document</w:t>
      </w:r>
      <w:r>
        <w:t xml:space="preserve"> </w:t>
      </w:r>
      <w:r>
        <w:t xml:space="preserve">carries a polymorphic</w:t>
      </w:r>
      <w:r>
        <w:t xml:space="preserve"> </w:t>
      </w:r>
      <w:r>
        <w:rPr>
          <w:rStyle w:val="VerbatimChar"/>
        </w:rPr>
        <w:t xml:space="preserve">subject_type/subject_id</w:t>
      </w:r>
      <w:r>
        <w:t xml:space="preserve"> </w:t>
      </w:r>
      <w:r>
        <w:t xml:space="preserve">link to any domain object, plus version history and signature state. A share certificate → allotment transaction → board resolution chain is fully navigable.</w:t>
      </w:r>
    </w:p>
    <w:bookmarkEnd w:id="28"/>
    <w:bookmarkStart w:id="29" w:name="X99993aa84f9aabe07027fb44d123dfebb0c477e"/>
    <w:p>
      <w:pPr>
        <w:pStyle w:val="Heading3"/>
      </w:pPr>
      <w:r>
        <w:t xml:space="preserve">6.5 Rules-as-data</w:t>
      </w:r>
    </w:p>
    <w:p>
      <w:pPr>
        <w:pStyle w:val="FirstParagraph"/>
      </w:pPr>
      <w:r>
        <w:t xml:space="preserve">Statutory artifacts — ROC form definitions, compliance deadlines, FEMA pricing methods, valuation rules, stamp-duty rates per state — live in</w:t>
      </w:r>
      <w:r>
        <w:t xml:space="preserve"> </w:t>
      </w:r>
      <w:r>
        <w:rPr>
          <w:b/>
          <w:bCs/>
        </w:rPr>
        <w:t xml:space="preserve">versioned reference tables</w:t>
      </w:r>
      <w:r>
        <w:t xml:space="preserve">, evaluated by a rules service. Effective-dated so historical computations stay correct after a law change.</w:t>
      </w:r>
    </w:p>
    <w:p>
      <w:pPr>
        <w:pStyle w:val="BodyText"/>
      </w:pPr>
      <w:r>
        <w:rPr>
          <w:b/>
          <w:bCs/>
        </w:rPr>
        <w:t xml:space="preserve">[As built]</w:t>
      </w:r>
      <w:r>
        <w:t xml:space="preserve"> </w:t>
      </w:r>
      <w:r>
        <w:t xml:space="preserve">Rules live as Python data registries (a pragmatic first step toward reference tables): compliance rules (</w:t>
      </w:r>
      <w:r>
        <w:rPr>
          <w:rStyle w:val="VerbatimChar"/>
        </w:rPr>
        <w:t xml:space="preserve">app/compliance/rules.py</w:t>
      </w:r>
      <w:r>
        <w:t xml:space="preserve"> </w:t>
      </w:r>
      <w:r>
        <w:t xml:space="preserve">— annual ROC, monthly GST/quarterly TDS, SEBI AIF calendar), document templates (</w:t>
      </w:r>
      <w:r>
        <w:rPr>
          <w:rStyle w:val="VerbatimChar"/>
        </w:rPr>
        <w:t xml:space="preserve">app/documents/templates.py</w:t>
      </w:r>
      <w:r>
        <w:t xml:space="preserve">, ~20 India-specific), workflow definitions (</w:t>
      </w:r>
      <w:r>
        <w:rPr>
          <w:rStyle w:val="VerbatimChar"/>
        </w:rPr>
        <w:t xml:space="preserve">app/workflows/registry.py</w:t>
      </w:r>
      <w:r>
        <w:t xml:space="preserve">), and the</w:t>
      </w:r>
      <w:r>
        <w:t xml:space="preserve"> </w:t>
      </w:r>
      <w:r>
        <w:rPr>
          <w:b/>
          <w:bCs/>
        </w:rPr>
        <w:t xml:space="preserve">stage registry</w:t>
      </w:r>
      <w:r>
        <w:t xml:space="preserve"> </w:t>
      </w:r>
      <w:r>
        <w:t xml:space="preserve">(</w:t>
      </w:r>
      <w:r>
        <w:rPr>
          <w:rStyle w:val="VerbatimChar"/>
        </w:rPr>
        <w:t xml:space="preserve">app/stages.py</w:t>
      </w:r>
      <w:r>
        <w:t xml:space="preserve"> </w:t>
      </w:r>
      <w:r>
        <w:t xml:space="preserve">— lifecycle stages, tab/feature gating, guided checklists). Event-based filings (PAS-3, MGT-14, DIR-12, FC-GPR) are injected idempotently by domain services.</w:t>
      </w:r>
    </w:p>
    <w:bookmarkEnd w:id="29"/>
    <w:bookmarkStart w:id="30" w:name="X09c106ab22f43c2570912c8714b0c458661a14f"/>
    <w:p>
      <w:pPr>
        <w:pStyle w:val="Heading3"/>
      </w:pPr>
      <w:r>
        <w:t xml:space="preserve">6.6 Schema evolution</w:t>
      </w:r>
    </w:p>
    <w:p>
      <w:pPr>
        <w:pStyle w:val="FirstParagraph"/>
      </w:pPr>
      <w:r>
        <w:rPr>
          <w:b/>
          <w:bCs/>
        </w:rPr>
        <w:t xml:space="preserve">[As built]</w:t>
      </w:r>
      <w:r>
        <w:t xml:space="preserve"> </w:t>
      </w:r>
      <w:r>
        <w:t xml:space="preserve">Alembic owns the schema: a verified 67-table baseline plus incremental revisions (anti-dilution/waterfall, stage, investor kind, portfolio marks, fees, deals, consents/secondary — 71 tables at v1.3), each checked for column-level parity against the models. Dev may auto-create tables (</w:t>
      </w:r>
      <w:r>
        <w:rPr>
          <w:rStyle w:val="VerbatimChar"/>
        </w:rPr>
        <w:t xml:space="preserve">PAPER_AUTO_CREATE_TABLES</w:t>
      </w:r>
      <w:r>
        <w:t xml:space="preserve">); production runs</w:t>
      </w:r>
      <w:r>
        <w:t xml:space="preserve"> </w:t>
      </w:r>
      <w:r>
        <w:rPr>
          <w:rStyle w:val="VerbatimChar"/>
        </w:rPr>
        <w:t xml:space="preserve">alembic upgrade head</w:t>
      </w:r>
      <w:r>
        <w:t xml:space="preserve">.</w:t>
      </w:r>
    </w:p>
    <w:p>
      <w:r>
        <w:pict>
          <v:rect style="width:0;height:1.5pt" o:hralign="center" o:hrstd="t" o:hr="t"/>
        </w:pict>
      </w:r>
    </w:p>
    <w:bookmarkEnd w:id="30"/>
    <w:bookmarkEnd w:id="31"/>
    <w:bookmarkStart w:id="32" w:name="X3b93240a9b4cf8514cff21e05d2e4747805f3be"/>
    <w:p>
      <w:pPr>
        <w:pStyle w:val="Heading2"/>
      </w:pPr>
      <w:r>
        <w:t xml:space="preserve">7. Workflow Engine (Module N) — backbone design</w:t>
      </w:r>
    </w:p>
    <w:p>
      <w:pPr>
        <w:pStyle w:val="FirstParagraph"/>
      </w:pPr>
      <w:r>
        <w:t xml:space="preserve">The workflow engine is central: most state changes occur inside a workflow run, giving every mutation an auditable origin and approval trail.</w:t>
      </w:r>
    </w:p>
    <w:p>
      <w:pPr>
        <w:pStyle w:val="Compact"/>
        <w:numPr>
          <w:ilvl w:val="0"/>
          <w:numId w:val="1007"/>
        </w:numPr>
      </w:pPr>
      <w:r>
        <w:rPr>
          <w:b/>
          <w:bCs/>
        </w:rPr>
        <w:t xml:space="preserve">WorkflowDefinition</w:t>
      </w:r>
      <w:r>
        <w:t xml:space="preserve"> </w:t>
      </w:r>
      <w:r>
        <w:t xml:space="preserve">— declarative, versioned: ordered/branching</w:t>
      </w:r>
      <w:r>
        <w:t xml:space="preserve"> </w:t>
      </w:r>
      <w:r>
        <w:rPr>
          <w:b/>
          <w:bCs/>
        </w:rPr>
        <w:t xml:space="preserve">steps</w:t>
      </w:r>
      <w:r>
        <w:t xml:space="preserve">, each with a type (</w:t>
      </w:r>
      <w:r>
        <w:rPr>
          <w:rStyle w:val="VerbatimChar"/>
        </w:rPr>
        <w:t xml:space="preserve">collect-input</w:t>
      </w:r>
      <w:r>
        <w:t xml:space="preserve">,</w:t>
      </w:r>
      <w:r>
        <w:t xml:space="preserve"> </w:t>
      </w:r>
      <w:r>
        <w:rPr>
          <w:rStyle w:val="VerbatimChar"/>
        </w:rPr>
        <w:t xml:space="preserve">generate-document</w:t>
      </w:r>
      <w:r>
        <w:t xml:space="preserve">,</w:t>
      </w:r>
      <w:r>
        <w:t xml:space="preserve"> </w:t>
      </w:r>
      <w:r>
        <w:rPr>
          <w:rStyle w:val="VerbatimChar"/>
        </w:rPr>
        <w:t xml:space="preserve">request-signature</w:t>
      </w:r>
      <w:r>
        <w:t xml:space="preserve">,</w:t>
      </w:r>
      <w:r>
        <w:t xml:space="preserve"> </w:t>
      </w:r>
      <w:r>
        <w:rPr>
          <w:rStyle w:val="VerbatimChar"/>
        </w:rPr>
        <w:t xml:space="preserve">approval</w:t>
      </w:r>
      <w:r>
        <w:t xml:space="preserve">,</w:t>
      </w:r>
      <w:r>
        <w:t xml:space="preserve"> </w:t>
      </w:r>
      <w:r>
        <w:rPr>
          <w:rStyle w:val="VerbatimChar"/>
        </w:rPr>
        <w:t xml:space="preserve">record-transaction</w:t>
      </w:r>
      <w:r>
        <w:t xml:space="preserve">,</w:t>
      </w:r>
      <w:r>
        <w:t xml:space="preserve"> </w:t>
      </w:r>
      <w:r>
        <w:rPr>
          <w:rStyle w:val="VerbatimChar"/>
        </w:rPr>
        <w:t xml:space="preserve">trigger-filing</w:t>
      </w:r>
      <w:r>
        <w:t xml:space="preserve">,</w:t>
      </w:r>
      <w:r>
        <w:t xml:space="preserve"> </w:t>
      </w:r>
      <w:r>
        <w:rPr>
          <w:rStyle w:val="VerbatimChar"/>
        </w:rPr>
        <w:t xml:space="preserve">external-call</w:t>
      </w:r>
      <w:r>
        <w:t xml:space="preserve">), inputs, guards, and assignees.</w:t>
      </w:r>
    </w:p>
    <w:p>
      <w:pPr>
        <w:pStyle w:val="Compact"/>
        <w:numPr>
          <w:ilvl w:val="0"/>
          <w:numId w:val="1007"/>
        </w:numPr>
      </w:pPr>
      <w:r>
        <w:rPr>
          <w:b/>
          <w:bCs/>
        </w:rPr>
        <w:t xml:space="preserve">WorkflowRun</w:t>
      </w:r>
      <w:r>
        <w:t xml:space="preserve"> </w:t>
      </w:r>
      <w:r>
        <w:t xml:space="preserve">— an instance bound to a legal entity; persists state machine position, collected data, produced artifacts.</w:t>
      </w:r>
    </w:p>
    <w:p>
      <w:pPr>
        <w:pStyle w:val="Compact"/>
        <w:numPr>
          <w:ilvl w:val="0"/>
          <w:numId w:val="1007"/>
        </w:numPr>
      </w:pPr>
      <w:r>
        <w:rPr>
          <w:b/>
          <w:bCs/>
        </w:rPr>
        <w:t xml:space="preserve">Step execution</w:t>
      </w:r>
      <w:r>
        <w:t xml:space="preserve"> </w:t>
      </w:r>
      <w:r>
        <w:t xml:space="preserve">— synchronous steps run inline; long-running steps (e-sign, external filing, payment) suspend the run and resume on a</w:t>
      </w:r>
      <w:r>
        <w:t xml:space="preserve"> </w:t>
      </w:r>
      <w:r>
        <w:rPr>
          <w:b/>
          <w:bCs/>
        </w:rPr>
        <w:t xml:space="preserve">callback/webhook</w:t>
      </w:r>
      <w:r>
        <w:t xml:space="preserve"> </w:t>
      </w:r>
      <w:r>
        <w:t xml:space="preserve">or job completion.</w:t>
      </w:r>
    </w:p>
    <w:p>
      <w:pPr>
        <w:pStyle w:val="Compact"/>
        <w:numPr>
          <w:ilvl w:val="0"/>
          <w:numId w:val="1007"/>
        </w:numPr>
      </w:pPr>
      <w:r>
        <w:rPr>
          <w:b/>
          <w:bCs/>
        </w:rPr>
        <w:t xml:space="preserve">Branching</w:t>
      </w:r>
      <w:r>
        <w:t xml:space="preserve"> </w:t>
      </w:r>
      <w:r>
        <w:t xml:space="preserve">driven by entity facts (e.g.,</w:t>
      </w:r>
      <w:r>
        <w:t xml:space="preserve"> </w:t>
      </w:r>
      <w:r>
        <w:rPr>
          <w:i/>
          <w:iCs/>
        </w:rPr>
        <w:t xml:space="preserve">foreign investor present → inject FC-GPR step</w:t>
      </w:r>
      <w:r>
        <w:t xml:space="preserve">;</w:t>
      </w:r>
      <w:r>
        <w:t xml:space="preserve"> </w:t>
      </w:r>
      <w:r>
        <w:rPr>
          <w:i/>
          <w:iCs/>
        </w:rPr>
        <w:t xml:space="preserve">AIF Cat III → inject tax step</w:t>
      </w:r>
      <w:r>
        <w:t xml:space="preserve">).</w:t>
      </w:r>
    </w:p>
    <w:p>
      <w:pPr>
        <w:pStyle w:val="Compact"/>
        <w:numPr>
          <w:ilvl w:val="0"/>
          <w:numId w:val="1007"/>
        </w:numPr>
      </w:pPr>
      <w:r>
        <w:rPr>
          <w:b/>
          <w:bCs/>
        </w:rPr>
        <w:t xml:space="preserve">Idempotency &amp; resumability</w:t>
      </w:r>
      <w:r>
        <w:t xml:space="preserve"> </w:t>
      </w:r>
      <w:r>
        <w:t xml:space="preserve">— each step is idempotent and checkpointed; safe to retry.</w:t>
      </w:r>
    </w:p>
    <w:p>
      <w:pPr>
        <w:pStyle w:val="FirstParagraph"/>
      </w:pPr>
      <w:r>
        <w:t xml:space="preserve">This lets the library of regulated processes (incorporation, priced round, capital call, ESOP grant) be authored as configuration rather than bespoke code.</w:t>
      </w:r>
    </w:p>
    <w:p>
      <w:pPr>
        <w:pStyle w:val="BodyText"/>
      </w:pPr>
      <w:r>
        <w:rPr>
          <w:b/>
          <w:bCs/>
        </w:rPr>
        <w:t xml:space="preserve">[As built]</w:t>
      </w:r>
      <w:r>
        <w:t xml:space="preserve"> </w:t>
      </w:r>
      <w:r>
        <w:t xml:space="preserve">The engine exists as designed (definitions-as-data, persisted runs/steps, suspend/resume, conditional branching — e.g. foreign investor → FC-GPR step;</w:t>
      </w:r>
      <w:r>
        <w:t xml:space="preserve"> </w:t>
      </w:r>
      <w:r>
        <w:rPr>
          <w:rStyle w:val="VerbatimChar"/>
        </w:rPr>
        <w:t xml:space="preserve">generate-document</w:t>
      </w:r>
      <w:r>
        <w:t xml:space="preserve"> </w:t>
      </w:r>
      <w:r>
        <w:t xml:space="preserve">and</w:t>
      </w:r>
      <w:r>
        <w:t xml:space="preserve"> </w:t>
      </w:r>
      <w:r>
        <w:rPr>
          <w:rStyle w:val="VerbatimChar"/>
        </w:rPr>
        <w:t xml:space="preserve">request-signature</w:t>
      </w:r>
      <w:r>
        <w:t xml:space="preserve"> </w:t>
      </w:r>
      <w:r>
        <w:t xml:space="preserve">steps call the real Document module). In practice most v1 mutations happen through module routes directly rather than inside workflow runs; the audit middleware (every mutating request logged with actor) provides the audit trail the workflow layer was designed to guarantee. Routing more mutations through workflows remains the target as processes formalise.</w:t>
      </w:r>
    </w:p>
    <w:p>
      <w:r>
        <w:pict>
          <v:rect style="width:0;height:1.5pt" o:hralign="center" o:hrstd="t" o:hr="t"/>
        </w:pict>
      </w:r>
    </w:p>
    <w:bookmarkEnd w:id="32"/>
    <w:bookmarkStart w:id="33" w:name="X64b15e8e443f0bf9347b90ecea236887dcc9dfd"/>
    <w:p>
      <w:pPr>
        <w:pStyle w:val="Heading2"/>
      </w:pPr>
      <w:r>
        <w:t xml:space="preserve">8. Integration Architecture</w:t>
      </w:r>
    </w:p>
    <w:p>
      <w:pPr>
        <w:pStyle w:val="FirstParagraph"/>
      </w:pPr>
      <w:r>
        <w:t xml:space="preserve">All external systems sit behind an</w:t>
      </w:r>
      <w:r>
        <w:t xml:space="preserve"> </w:t>
      </w:r>
      <w:r>
        <w:rPr>
          <w:b/>
          <w:bCs/>
        </w:rPr>
        <w:t xml:space="preserve">adapter (anti-corruption) layer</w:t>
      </w:r>
      <w:r>
        <w:t xml:space="preserve"> </w:t>
      </w:r>
      <w:r>
        <w:t xml:space="preserve">exposing stable internal interfaces, so providers can be swapped and so workflow steps depend on capabilities, not vendors.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Capability</w:t>
            </w:r>
          </w:p>
        </w:tc>
        <w:tc>
          <w:tcPr/>
          <w:p>
            <w:pPr>
              <w:pStyle w:val="Compact"/>
            </w:pPr>
            <w:r>
              <w:t xml:space="preserve">Provider(s) (integrate, not build)</w:t>
            </w:r>
          </w:p>
        </w:tc>
        <w:tc>
          <w:tcPr/>
          <w:p>
            <w:pPr>
              <w:pStyle w:val="Compact"/>
            </w:pPr>
            <w:r>
              <w:t xml:space="preserve">Pattern</w:t>
            </w:r>
          </w:p>
        </w:tc>
      </w:tr>
      <w:tr>
        <w:tc>
          <w:tcPr/>
          <w:p>
            <w:pPr>
              <w:pStyle w:val="Compact"/>
            </w:pPr>
            <w:r>
              <w:t xml:space="preserve">e-Signature</w:t>
            </w:r>
          </w:p>
        </w:tc>
        <w:tc>
          <w:tcPr/>
          <w:p>
            <w:pPr>
              <w:pStyle w:val="Compact"/>
            </w:pPr>
            <w:r>
              <w:t xml:space="preserve">Aadhaar eSign (eMudhra/NSDL), Leegality, DocuSign</w:t>
            </w:r>
          </w:p>
        </w:tc>
        <w:tc>
          <w:tcPr/>
          <w:p>
            <w:pPr>
              <w:pStyle w:val="Compact"/>
            </w:pPr>
            <w:r>
              <w:t xml:space="preserve">Async; webhook on completion → resume workflow; store tamper-evident PDF.</w:t>
            </w:r>
          </w:p>
        </w:tc>
      </w:tr>
      <w:tr>
        <w:tc>
          <w:tcPr/>
          <w:p>
            <w:pPr>
              <w:pStyle w:val="Compact"/>
            </w:pPr>
            <w:r>
              <w:t xml:space="preserve">Identity / KYC</w:t>
            </w:r>
          </w:p>
        </w:tc>
        <w:tc>
          <w:tcPr/>
          <w:p>
            <w:pPr>
              <w:pStyle w:val="Compact"/>
            </w:pPr>
            <w:r>
              <w:t xml:space="preserve">DigiLocker, Aadhaar e-KYC, PAN verify, CKYC</w:t>
            </w:r>
          </w:p>
        </w:tc>
        <w:tc>
          <w:tcPr/>
          <w:p>
            <w:pPr>
              <w:pStyle w:val="Compact"/>
            </w:pPr>
            <w:r>
              <w:t xml:space="preserve">Sync verify + cached KYC profile reuse.</w:t>
            </w:r>
          </w:p>
        </w:tc>
      </w:tr>
      <w:tr>
        <w:tc>
          <w:tcPr/>
          <w:p>
            <w:pPr>
              <w:pStyle w:val="Compact"/>
            </w:pPr>
            <w:r>
              <w:t xml:space="preserve">Incorporation / ROC</w:t>
            </w:r>
          </w:p>
        </w:tc>
        <w:tc>
          <w:tcPr/>
          <w:p>
            <w:pPr>
              <w:pStyle w:val="Compact"/>
            </w:pPr>
            <w:r>
              <w:t xml:space="preserve">MCA21 (assisted; export packages where no API)</w:t>
            </w:r>
          </w:p>
        </w:tc>
        <w:tc>
          <w:tcPr/>
          <w:p>
            <w:pPr>
              <w:pStyle w:val="Compact"/>
            </w:pPr>
            <w:r>
              <w:t xml:space="preserve">Prepare validated package → CS files → capture SRN.</w:t>
            </w:r>
          </w:p>
        </w:tc>
      </w:tr>
      <w:tr>
        <w:tc>
          <w:tcPr/>
          <w:p>
            <w:pPr>
              <w:pStyle w:val="Compact"/>
            </w:pPr>
            <w:r>
              <w:t xml:space="preserve">Foreign investment</w:t>
            </w:r>
          </w:p>
        </w:tc>
        <w:tc>
          <w:tcPr/>
          <w:p>
            <w:pPr>
              <w:pStyle w:val="Compact"/>
            </w:pPr>
            <w:r>
              <w:t xml:space="preserve">RBI FIRMS/SMF (FC-GPR/FC-TRS/FLA)</w:t>
            </w:r>
          </w:p>
        </w:tc>
        <w:tc>
          <w:tcPr/>
          <w:p>
            <w:pPr>
              <w:pStyle w:val="Compact"/>
            </w:pPr>
            <w:r>
              <w:t xml:space="preserve">Generate filing pack with valuation + CS cert; track status.</w:t>
            </w:r>
          </w:p>
        </w:tc>
      </w:tr>
      <w:tr>
        <w:tc>
          <w:tcPr/>
          <w:p>
            <w:pPr>
              <w:pStyle w:val="Compact"/>
            </w:pPr>
            <w:r>
              <w:t xml:space="preserve">Payments / escrow</w:t>
            </w:r>
          </w:p>
        </w:tc>
        <w:tc>
          <w:tcPr/>
          <w:p>
            <w:pPr>
              <w:pStyle w:val="Compact"/>
            </w:pPr>
            <w:r>
              <w:t xml:space="preserve">Regulated gateway/escrow partner</w:t>
            </w:r>
          </w:p>
        </w:tc>
        <w:tc>
          <w:tcPr/>
          <w:p>
            <w:pPr>
              <w:pStyle w:val="Compact"/>
            </w:pPr>
            <w:r>
              <w:t xml:space="preserve">Collect subscription monies/drawdowns; reconcile bank statements.</w:t>
            </w:r>
          </w:p>
        </w:tc>
      </w:tr>
      <w:tr>
        <w:tc>
          <w:tcPr/>
          <w:p>
            <w:pPr>
              <w:pStyle w:val="Compact"/>
            </w:pPr>
            <w:r>
              <w:t xml:space="preserve">Accounting</w:t>
            </w:r>
          </w:p>
        </w:tc>
        <w:tc>
          <w:tcPr/>
          <w:p>
            <w:pPr>
              <w:pStyle w:val="Compact"/>
            </w:pPr>
            <w:r>
              <w:t xml:space="preserve">Tally / Zoho Books / QuickBooks</w:t>
            </w:r>
          </w:p>
        </w:tc>
        <w:tc>
          <w:tcPr/>
          <w:p>
            <w:pPr>
              <w:pStyle w:val="Compact"/>
            </w:pPr>
            <w:r>
              <w:t xml:space="preserve">Export equity &amp; fund transactions.</w:t>
            </w:r>
          </w:p>
        </w:tc>
      </w:tr>
      <w:tr>
        <w:tc>
          <w:tcPr/>
          <w:p>
            <w:pPr>
              <w:pStyle w:val="Compact"/>
            </w:pPr>
            <w:r>
              <w:t xml:space="preserve">Valuation</w:t>
            </w:r>
          </w:p>
        </w:tc>
        <w:tc>
          <w:tcPr/>
          <w:p>
            <w:pPr>
              <w:pStyle w:val="Compact"/>
            </w:pPr>
            <w:r>
              <w:t xml:space="preserve">Registered valuer / merchant banker (via Services marketplace)</w:t>
            </w:r>
          </w:p>
        </w:tc>
        <w:tc>
          <w:tcPr/>
          <w:p>
            <w:pPr>
              <w:pStyle w:val="Compact"/>
            </w:pPr>
            <w:r>
              <w:t xml:space="preserve">Engagement → report artifact → links to round/grant/FEMA.</w:t>
            </w:r>
          </w:p>
        </w:tc>
      </w:tr>
      <w:tr>
        <w:tc>
          <w:tcPr/>
          <w:p>
            <w:pPr>
              <w:pStyle w:val="Compact"/>
            </w:pPr>
            <w:r>
              <w:t xml:space="preserve">Demat</w:t>
            </w:r>
          </w:p>
        </w:tc>
        <w:tc>
          <w:tcPr/>
          <w:p>
            <w:pPr>
              <w:pStyle w:val="Compact"/>
            </w:pPr>
            <w:r>
              <w:t xml:space="preserve">NSDL / CDSL / RTA</w:t>
            </w:r>
          </w:p>
        </w:tc>
        <w:tc>
          <w:tcPr/>
          <w:p>
            <w:pPr>
              <w:pStyle w:val="Compact"/>
            </w:pPr>
            <w:r>
              <w:t xml:space="preserve">ISIN, demat status; hand-off.</w:t>
            </w:r>
          </w:p>
        </w:tc>
      </w:tr>
      <w:tr>
        <w:tc>
          <w:tcPr/>
          <w:p>
            <w:pPr>
              <w:pStyle w:val="Compact"/>
            </w:pPr>
            <w:r>
              <w:t xml:space="preserve">e-Stamp</w:t>
            </w:r>
          </w:p>
        </w:tc>
        <w:tc>
          <w:tcPr/>
          <w:p>
            <w:pPr>
              <w:pStyle w:val="Compact"/>
            </w:pPr>
            <w:r>
              <w:t xml:space="preserve">SHCIL / state e-stamp</w:t>
            </w:r>
          </w:p>
        </w:tc>
        <w:tc>
          <w:tcPr/>
          <w:p>
            <w:pPr>
              <w:pStyle w:val="Compact"/>
            </w:pPr>
            <w:r>
              <w:t xml:space="preserve">Stamp-duty reference on issue/transfer.</w:t>
            </w:r>
          </w:p>
        </w:tc>
      </w:tr>
    </w:tbl>
    <w:p>
      <w:pPr>
        <w:pStyle w:val="BodyText"/>
      </w:pPr>
      <w:r>
        <w:rPr>
          <w:b/>
          <w:bCs/>
        </w:rPr>
        <w:t xml:space="preserve">Resilience:</w:t>
      </w:r>
      <w:r>
        <w:t xml:space="preserve"> </w:t>
      </w:r>
      <w:r>
        <w:t xml:space="preserve">adapters implement timeouts, retries with backoff, circuit breakers; all outbound calls and inbound webhooks are logged to the audit trail; webhook endpoints verify signatures and are idempotent.</w:t>
      </w:r>
    </w:p>
    <w:p>
      <w:pPr>
        <w:pStyle w:val="BodyText"/>
      </w:pPr>
      <w:r>
        <w:rPr>
          <w:b/>
          <w:bCs/>
        </w:rPr>
        <w:t xml:space="preserve">[As built]</w:t>
      </w:r>
      <w:r>
        <w:t xml:space="preserve"> </w:t>
      </w:r>
      <w:r>
        <w:t xml:space="preserve">All providers in the table are</w:t>
      </w:r>
      <w:r>
        <w:t xml:space="preserve"> </w:t>
      </w:r>
      <w:r>
        <w:rPr>
          <w:b/>
          <w:bCs/>
        </w:rPr>
        <w:t xml:space="preserve">credential-blocked</w:t>
      </w:r>
      <w:r>
        <w:t xml:space="preserve">; none are wired yet. The e-sign flow is implemented end-to-end against a</w:t>
      </w:r>
      <w:r>
        <w:t xml:space="preserve"> </w:t>
      </w:r>
      <w:r>
        <w:rPr>
          <w:b/>
          <w:bCs/>
        </w:rPr>
        <w:t xml:space="preserve">simulated provider</w:t>
      </w:r>
      <w:r>
        <w:t xml:space="preserve"> </w:t>
      </w:r>
      <w:r>
        <w:t xml:space="preserve">(request → callback → signed) so the adapter seam is proven; MCA21/FIRMS follow the prepare-and-assist model (obligations, SRN capture) without portal calls.</w:t>
      </w:r>
    </w:p>
    <w:p>
      <w:r>
        <w:pict>
          <v:rect style="width:0;height:1.5pt" o:hralign="center" o:hrstd="t" o:hr="t"/>
        </w:pict>
      </w:r>
    </w:p>
    <w:bookmarkEnd w:id="33"/>
    <w:bookmarkStart w:id="38" w:name="X897718c2873dd2f41612e074b34b68accd1a6de"/>
    <w:p>
      <w:pPr>
        <w:pStyle w:val="Heading2"/>
      </w:pPr>
      <w:r>
        <w:t xml:space="preserve">9. Key Runtime Flows</w:t>
      </w:r>
    </w:p>
    <w:bookmarkStart w:id="34" w:name="Xcc00c0b45289a1c270c34fad43f5745d2b2e96f"/>
    <w:p>
      <w:pPr>
        <w:pStyle w:val="Heading3"/>
      </w:pPr>
      <w:r>
        <w:t xml:space="preserve">9.1 Incorporate a private limited company (FR-B)</w:t>
      </w:r>
    </w:p>
    <w:p>
      <w:pPr>
        <w:pStyle w:val="SourceCode"/>
      </w:pPr>
      <w:r>
        <w:rPr>
          <w:rStyle w:val="VerbatimChar"/>
        </w:rPr>
        <w:t xml:space="preserve">Founder → Workflow "Incorporate PvtLtd"</w:t>
      </w:r>
      <w:r>
        <w:br/>
      </w:r>
      <w:r>
        <w:rPr>
          <w:rStyle w:val="VerbatimChar"/>
        </w:rPr>
        <w:t xml:space="preserve">  collect promoters/directors/capital/office</w:t>
      </w:r>
      <w:r>
        <w:br/>
      </w:r>
      <w:r>
        <w:rPr>
          <w:rStyle w:val="VerbatimChar"/>
        </w:rPr>
        <w:t xml:space="preserve">  → run KYC (DigiLocker/PAN) per director</w:t>
      </w:r>
      <w:r>
        <w:br/>
      </w:r>
      <w:r>
        <w:rPr>
          <w:rStyle w:val="VerbatimChar"/>
        </w:rPr>
        <w:t xml:space="preserve">  → generate SPICe+/eMoA/eAoA/AGILE-PRO package (Document svc)</w:t>
      </w:r>
      <w:r>
        <w:br/>
      </w:r>
      <w:r>
        <w:rPr>
          <w:rStyle w:val="VerbatimChar"/>
        </w:rPr>
        <w:t xml:space="preserve">  → request e-sign (DSC/Aadhaar eSign)</w:t>
      </w:r>
      <w:r>
        <w:br/>
      </w:r>
      <w:r>
        <w:rPr>
          <w:rStyle w:val="VerbatimChar"/>
        </w:rPr>
        <w:t xml:space="preserve">  → produce filing-ready pack → assign CS (Services) to file on MCA21</w:t>
      </w:r>
      <w:r>
        <w:br/>
      </w:r>
      <w:r>
        <w:rPr>
          <w:rStyle w:val="VerbatimChar"/>
        </w:rPr>
        <w:t xml:space="preserve">  → on CIN/PAN/TAN captured: create LegalEntity, seed CorporateRecord &amp; registers</w:t>
      </w:r>
      <w:r>
        <w:br/>
      </w:r>
      <w:r>
        <w:rPr>
          <w:rStyle w:val="VerbatimChar"/>
        </w:rPr>
        <w:t xml:space="preserve">  → generate compliance calendar (Compliance) from incorp date/FY</w:t>
      </w:r>
    </w:p>
    <w:bookmarkEnd w:id="34"/>
    <w:bookmarkStart w:id="35" w:name="X09321a5efb4e2816ed1530b1ea6af58b2341185"/>
    <w:p>
      <w:pPr>
        <w:pStyle w:val="Heading3"/>
      </w:pPr>
      <w:r>
        <w:t xml:space="preserve">9.2 Priced round with a foreign investor (FR-E + FR-H FEMA)</w:t>
      </w:r>
    </w:p>
    <w:p>
      <w:pPr>
        <w:pStyle w:val="SourceCode"/>
      </w:pPr>
      <w:r>
        <w:rPr>
          <w:rStyle w:val="VerbatimChar"/>
        </w:rPr>
        <w:t xml:space="preserve">Founder → Workflow "Priced Round"</w:t>
      </w:r>
      <w:r>
        <w:br/>
      </w:r>
      <w:r>
        <w:rPr>
          <w:rStyle w:val="VerbatimChar"/>
        </w:rPr>
        <w:t xml:space="preserve">  define round/terms → generate term sheet → negotiate/version</w:t>
      </w:r>
      <w:r>
        <w:br/>
      </w:r>
      <w:r>
        <w:rPr>
          <w:rStyle w:val="VerbatimChar"/>
        </w:rPr>
        <w:t xml:space="preserve">  → engage valuer (Valuation, Rule 11UA / FEMA pricing) → store report</w:t>
      </w:r>
      <w:r>
        <w:br/>
      </w:r>
      <w:r>
        <w:rPr>
          <w:rStyle w:val="VerbatimChar"/>
        </w:rPr>
        <w:t xml:space="preserve">  → generate SHA/SSA/board+shareholder resolutions/PAS-4 (Document svc)</w:t>
      </w:r>
      <w:r>
        <w:br/>
      </w:r>
      <w:r>
        <w:rPr>
          <w:rStyle w:val="VerbatimChar"/>
        </w:rPr>
        <w:t xml:space="preserve">  → open round Data Room; invite investors; track engagement</w:t>
      </w:r>
      <w:r>
        <w:br/>
      </w:r>
      <w:r>
        <w:rPr>
          <w:rStyle w:val="VerbatimChar"/>
        </w:rPr>
        <w:t xml:space="preserve">  → collect commitments → e-sign deal docs</w:t>
      </w:r>
      <w:r>
        <w:br/>
      </w:r>
      <w:r>
        <w:rPr>
          <w:rStyle w:val="VerbatimChar"/>
        </w:rPr>
        <w:t xml:space="preserve">  → on closing: record IssuanceTransaction(s) → update CapTableSnapshot</w:t>
      </w:r>
      <w:r>
        <w:br/>
      </w:r>
      <w:r>
        <w:rPr>
          <w:rStyle w:val="VerbatimChar"/>
        </w:rPr>
        <w:t xml:space="preserve">     → generate share certificates → Register of Members entry → stamp duty</w:t>
      </w:r>
      <w:r>
        <w:br/>
      </w:r>
      <w:r>
        <w:rPr>
          <w:rStyle w:val="VerbatimChar"/>
        </w:rPr>
        <w:t xml:space="preserve">  → branch: foreign investor present</w:t>
      </w:r>
      <w:r>
        <w:br/>
      </w:r>
      <w:r>
        <w:rPr>
          <w:rStyle w:val="VerbatimChar"/>
        </w:rPr>
        <w:t xml:space="preserve">     → inject FC-GPR filing task (Compliance) with valuation + CS cert + FIRC/KYC</w:t>
      </w:r>
      <w:r>
        <w:br/>
      </w:r>
      <w:r>
        <w:rPr>
          <w:rStyle w:val="VerbatimChar"/>
        </w:rPr>
        <w:t xml:space="preserve">  → publish investor portal holdings</w:t>
      </w:r>
    </w:p>
    <w:bookmarkEnd w:id="35"/>
    <w:bookmarkStart w:id="36" w:name="X5c2a246798ee996e19e4e014c2cb754d81289b0"/>
    <w:p>
      <w:pPr>
        <w:pStyle w:val="Heading3"/>
      </w:pPr>
      <w:r>
        <w:t xml:space="preserve">9.3 Capital call (FR-J)</w:t>
      </w:r>
    </w:p>
    <w:p>
      <w:pPr>
        <w:pStyle w:val="SourceCode"/>
      </w:pPr>
      <w:r>
        <w:rPr>
          <w:rStyle w:val="VerbatimChar"/>
        </w:rPr>
        <w:t xml:space="preserve">GP → Workflow "Drawdown N"</w:t>
      </w:r>
      <w:r>
        <w:br/>
      </w:r>
      <w:r>
        <w:rPr>
          <w:rStyle w:val="VerbatimChar"/>
        </w:rPr>
        <w:t xml:space="preserve">  compute pro-rata across CapitalCommitments</w:t>
      </w:r>
      <w:r>
        <w:br/>
      </w:r>
      <w:r>
        <w:rPr>
          <w:rStyle w:val="VerbatimChar"/>
        </w:rPr>
        <w:t xml:space="preserve">  → generate per-LP DrawdownNotices → notify LPs (Notification)</w:t>
      </w:r>
      <w:r>
        <w:br/>
      </w:r>
      <w:r>
        <w:rPr>
          <w:rStyle w:val="VerbatimChar"/>
        </w:rPr>
        <w:t xml:space="preserve">  → track payments (Payments adapter) → update CapitalAccounts (ledger)</w:t>
      </w:r>
      <w:r>
        <w:br/>
      </w:r>
      <w:r>
        <w:rPr>
          <w:rStyle w:val="VerbatimChar"/>
        </w:rPr>
        <w:t xml:space="preserve">  → defaulting-LP handling branch</w:t>
      </w:r>
      <w:r>
        <w:br/>
      </w:r>
      <w:r>
        <w:rPr>
          <w:rStyle w:val="VerbatimChar"/>
        </w:rPr>
        <w:t xml:space="preserve">  → LP portal reflects drawn/remaining</w:t>
      </w:r>
    </w:p>
    <w:bookmarkEnd w:id="36"/>
    <w:bookmarkStart w:id="37" w:name="X295b045b1e18da4f70f147405af4c240cadc086"/>
    <w:p>
      <w:pPr>
        <w:pStyle w:val="Heading3"/>
      </w:pPr>
      <w:r>
        <w:t xml:space="preserve">9.4 e-Sign (cross-cutting, async)</w:t>
      </w:r>
    </w:p>
    <w:p>
      <w:pPr>
        <w:pStyle w:val="SourceCode"/>
      </w:pPr>
      <w:r>
        <w:rPr>
          <w:rStyle w:val="VerbatimChar"/>
        </w:rPr>
        <w:t xml:space="preserve">Document svc → SignatureRequest → e-Sign adapter (provider)</w:t>
      </w:r>
      <w:r>
        <w:br/>
      </w:r>
      <w:r>
        <w:rPr>
          <w:rStyle w:val="VerbatimChar"/>
        </w:rPr>
        <w:t xml:space="preserve">  workflow step SUSPENDS</w:t>
      </w:r>
      <w:r>
        <w:br/>
      </w:r>
      <w:r>
        <w:rPr>
          <w:rStyle w:val="VerbatimChar"/>
        </w:rPr>
        <w:t xml:space="preserve">  provider webhook (signed) → verify signature → store tamper-evident PDF</w:t>
      </w:r>
      <w:r>
        <w:br/>
      </w:r>
      <w:r>
        <w:rPr>
          <w:rStyle w:val="VerbatimChar"/>
        </w:rPr>
        <w:t xml:space="preserve">  → mark Document signed → RESUME workflow → audit log</w:t>
      </w:r>
    </w:p>
    <w:p>
      <w:r>
        <w:pict>
          <v:rect style="width:0;height:1.5pt" o:hralign="center" o:hrstd="t" o:hr="t"/>
        </w:pict>
      </w:r>
    </w:p>
    <w:bookmarkEnd w:id="37"/>
    <w:bookmarkEnd w:id="38"/>
    <w:bookmarkStart w:id="39" w:name="X0f5a79196ab9697f8401b7890b485cc83b629d4"/>
    <w:p>
      <w:pPr>
        <w:pStyle w:val="Heading2"/>
      </w:pPr>
      <w:r>
        <w:t xml:space="preserve">10. Security Architecture</w:t>
      </w:r>
    </w:p>
    <w:p>
      <w:pPr>
        <w:pStyle w:val="Compact"/>
        <w:numPr>
          <w:ilvl w:val="0"/>
          <w:numId w:val="1008"/>
        </w:numPr>
      </w:pPr>
      <w:r>
        <w:rPr>
          <w:b/>
          <w:bCs/>
        </w:rPr>
        <w:t xml:space="preserve">AuthN:</w:t>
      </w:r>
      <w:r>
        <w:t xml:space="preserve"> </w:t>
      </w:r>
      <w:r>
        <w:t xml:space="preserve">OIDC/SSO + email-OTP; MFA for privileged roles; DSC registration for directors/CS (FR-A-6). Short-lived JWT access tokens + refresh; sessions in Redis.</w:t>
      </w:r>
    </w:p>
    <w:p>
      <w:pPr>
        <w:pStyle w:val="Compact"/>
        <w:numPr>
          <w:ilvl w:val="0"/>
          <w:numId w:val="1008"/>
        </w:numPr>
      </w:pPr>
      <w:r>
        <w:rPr>
          <w:b/>
          <w:bCs/>
        </w:rPr>
        <w:t xml:space="preserve">AuthZ:</w:t>
      </w:r>
      <w:r>
        <w:t xml:space="preserve"> </w:t>
      </w:r>
      <w:r>
        <w:t xml:space="preserve">RBAC with per-resource scopes (FR-A-2). Authorization enforced in the application command layer</w:t>
      </w:r>
      <w:r>
        <w:t xml:space="preserve"> </w:t>
      </w:r>
      <w:r>
        <w:rPr>
          <w:b/>
          <w:bCs/>
        </w:rPr>
        <w:t xml:space="preserve">and</w:t>
      </w:r>
      <w:r>
        <w:t xml:space="preserve"> </w:t>
      </w:r>
      <w:r>
        <w:t xml:space="preserve">at the database via Postgres RLS (defence-in-depth). External professionals get time-boxed, scoped guest grants.</w:t>
      </w:r>
    </w:p>
    <w:p>
      <w:pPr>
        <w:pStyle w:val="Compact"/>
        <w:numPr>
          <w:ilvl w:val="0"/>
          <w:numId w:val="1008"/>
        </w:numPr>
      </w:pPr>
      <w:r>
        <w:rPr>
          <w:b/>
          <w:bCs/>
        </w:rPr>
        <w:t xml:space="preserve">Tenant isolation:</w:t>
      </w:r>
      <w:r>
        <w:t xml:space="preserve"> </w:t>
      </w:r>
      <w:r>
        <w:t xml:space="preserve">mandatory</w:t>
      </w:r>
      <w:r>
        <w:t xml:space="preserve"> </w:t>
      </w:r>
      <w:r>
        <w:rPr>
          <w:rStyle w:val="VerbatimChar"/>
        </w:rPr>
        <w:t xml:space="preserve">tenant_id</w:t>
      </w:r>
      <w:r>
        <w:t xml:space="preserve"> </w:t>
      </w:r>
      <w:r>
        <w:t xml:space="preserve">+ RLS; per-tenant CMEK for object storage; cross-tenant access only via explicit consent grants.</w:t>
      </w:r>
    </w:p>
    <w:p>
      <w:pPr>
        <w:pStyle w:val="Compact"/>
        <w:numPr>
          <w:ilvl w:val="0"/>
          <w:numId w:val="1008"/>
        </w:numPr>
      </w:pPr>
      <w:r>
        <w:rPr>
          <w:b/>
          <w:bCs/>
        </w:rPr>
        <w:t xml:space="preserve">Encryption:</w:t>
      </w:r>
      <w:r>
        <w:t xml:space="preserve"> </w:t>
      </w:r>
      <w:r>
        <w:t xml:space="preserve">TLS 1.2+ in transit; AES-256 at rest (CMEK in KMS); secrets in Secret Manager; field-level encryption for high-sensitivity PII (Aadhaar, bank).</w:t>
      </w:r>
    </w:p>
    <w:p>
      <w:pPr>
        <w:pStyle w:val="Compact"/>
        <w:numPr>
          <w:ilvl w:val="0"/>
          <w:numId w:val="1008"/>
        </w:numPr>
      </w:pPr>
      <w:r>
        <w:rPr>
          <w:b/>
          <w:bCs/>
        </w:rPr>
        <w:t xml:space="preserve">Document integrity:</w:t>
      </w:r>
      <w:r>
        <w:t xml:space="preserve"> </w:t>
      </w:r>
      <w:r>
        <w:t xml:space="preserve">signed PDFs retained immutably; hash recorded; e-sign audit trail attached.</w:t>
      </w:r>
    </w:p>
    <w:p>
      <w:pPr>
        <w:pStyle w:val="Compact"/>
        <w:numPr>
          <w:ilvl w:val="0"/>
          <w:numId w:val="1008"/>
        </w:numPr>
      </w:pPr>
      <w:r>
        <w:rPr>
          <w:b/>
          <w:bCs/>
        </w:rPr>
        <w:t xml:space="preserve">Privacy / DPDP (NFR-3):</w:t>
      </w:r>
      <w:r>
        <w:t xml:space="preserve"> </w:t>
      </w:r>
      <w:r>
        <w:t xml:space="preserve">consent capture, purpose limitation, data-principal rights (access/erasure) workflows, configurable retention, breach-notification runbook.</w:t>
      </w:r>
    </w:p>
    <w:p>
      <w:pPr>
        <w:pStyle w:val="Compact"/>
        <w:numPr>
          <w:ilvl w:val="0"/>
          <w:numId w:val="1008"/>
        </w:numPr>
      </w:pPr>
      <w:r>
        <w:rPr>
          <w:b/>
          <w:bCs/>
        </w:rPr>
        <w:t xml:space="preserve">Data residency (NFR-2):</w:t>
      </w:r>
      <w:r>
        <w:t xml:space="preserve"> </w:t>
      </w:r>
      <w:r>
        <w:t xml:space="preserve">all PII/regulated data and backups pinned to an India GCP region.</w:t>
      </w:r>
    </w:p>
    <w:p>
      <w:pPr>
        <w:pStyle w:val="Compact"/>
        <w:numPr>
          <w:ilvl w:val="0"/>
          <w:numId w:val="1008"/>
        </w:numPr>
      </w:pPr>
      <w:r>
        <w:rPr>
          <w:b/>
          <w:bCs/>
        </w:rPr>
        <w:t xml:space="preserve">Audit (NFR-4):</w:t>
      </w:r>
      <w:r>
        <w:t xml:space="preserve"> </w:t>
      </w:r>
      <w:r>
        <w:t xml:space="preserve">every legally significant action emits an immutable, time-stamped</w:t>
      </w:r>
      <w:r>
        <w:t xml:space="preserve"> </w:t>
      </w:r>
      <w:r>
        <w:rPr>
          <w:rStyle w:val="VerbatimChar"/>
        </w:rPr>
        <w:t xml:space="preserve">AuditLogEntry</w:t>
      </w:r>
      <w:r>
        <w:t xml:space="preserve"> </w:t>
      </w:r>
      <w:r>
        <w:t xml:space="preserve">(actor, action, subject, before/after); write-once storage; exportable.</w:t>
      </w:r>
    </w:p>
    <w:p>
      <w:pPr>
        <w:pStyle w:val="Compact"/>
        <w:numPr>
          <w:ilvl w:val="0"/>
          <w:numId w:val="1008"/>
        </w:numPr>
      </w:pPr>
      <w:r>
        <w:rPr>
          <w:b/>
          <w:bCs/>
        </w:rPr>
        <w:t xml:space="preserve">App security:</w:t>
      </w:r>
      <w:r>
        <w:t xml:space="preserve"> </w:t>
      </w:r>
      <w:r>
        <w:t xml:space="preserve">input validation (Pydantic), output encoding, CSRF/CORS controls, rate limiting at gateway, dependency scanning, periodic pen-tests.</w:t>
      </w:r>
    </w:p>
    <w:p>
      <w:pPr>
        <w:pStyle w:val="FirstParagraph"/>
      </w:pPr>
      <w:r>
        <w:rPr>
          <w:b/>
          <w:bCs/>
        </w:rPr>
        <w:t xml:space="preserve">[As built]</w:t>
      </w:r>
      <w:r>
        <w:t xml:space="preserve"> </w:t>
      </w:r>
      <w:r>
        <w:t xml:space="preserve">AuthN is email+password (scrypt) issuing short-lived JWTs with refresh; login failures are rate-limited (5/5min per email, in-memory — Redis-backed when multi-instance); the app</w:t>
      </w:r>
      <w:r>
        <w:t xml:space="preserve"> </w:t>
      </w:r>
      <w:r>
        <w:rPr>
          <w:b/>
          <w:bCs/>
        </w:rPr>
        <w:t xml:space="preserve">refuses to boot with the default JWT secret outside dev/test</w:t>
      </w:r>
      <w:r>
        <w:t xml:space="preserve">. AuthZ is app-layer RBAC via a generated dependency-per-resource pattern (</w:t>
      </w:r>
      <w:r>
        <w:rPr>
          <w:rStyle w:val="VerbatimChar"/>
        </w:rPr>
        <w:t xml:space="preserve">app/deps.py</w:t>
      </w:r>
      <w:r>
        <w:t xml:space="preserve"> </w:t>
      </w:r>
      <w:r>
        <w:t xml:space="preserve">— every entity-owned resource resolves ownership and the caller's tenant role; body-referenced ids are guarded by</w:t>
      </w:r>
      <w:r>
        <w:t xml:space="preserve"> </w:t>
      </w:r>
      <w:r>
        <w:rPr>
          <w:rStyle w:val="VerbatimChar"/>
        </w:rPr>
        <w:t xml:space="preserve">get_owned</w:t>
      </w:r>
      <w:r>
        <w:t xml:space="preserve"> </w:t>
      </w:r>
      <w:r>
        <w:t xml:space="preserve">against cross-entity injection). Postgres RLS (ADR-5) is designed but</w:t>
      </w:r>
      <w:r>
        <w:t xml:space="preserve"> </w:t>
      </w:r>
      <w:r>
        <w:rPr>
          <w:b/>
          <w:bCs/>
        </w:rPr>
        <w:t xml:space="preserve">pends the Postgres deployment</w:t>
      </w:r>
      <w:r>
        <w:t xml:space="preserve">; on SQLite only the app-layer checks apply. The portal is a second trust boundary: investors/LPs/employees are matched</w:t>
      </w:r>
      <w:r>
        <w:t xml:space="preserve"> </w:t>
      </w:r>
      <w:r>
        <w:rPr>
          <w:b/>
          <w:bCs/>
        </w:rPr>
        <w:t xml:space="preserve">by email</w:t>
      </w:r>
      <w:r>
        <w:t xml:space="preserve">, receive read-only scoped views, and their two write actions (consent decisions, secondary-sale requests) are authorised against that email match, never tenant membership. OIDC/OTP/MFA and DSC registration remain target.</w:t>
      </w:r>
    </w:p>
    <w:p>
      <w:r>
        <w:pict>
          <v:rect style="width:0;height:1.5pt" o:hralign="center" o:hrstd="t" o:hr="t"/>
        </w:pict>
      </w:r>
    </w:p>
    <w:bookmarkEnd w:id="39"/>
    <w:bookmarkStart w:id="40" w:name="X5e01f2d96969b720b352d47cab1e2727d37fe38"/>
    <w:p>
      <w:pPr>
        <w:pStyle w:val="Heading2"/>
      </w:pPr>
      <w:r>
        <w:t xml:space="preserve">11. Deployment Architecture</w:t>
      </w:r>
    </w:p>
    <w:p>
      <w:pPr>
        <w:pStyle w:val="SourceCode"/>
      </w:pPr>
      <w:r>
        <w:rPr>
          <w:rStyle w:val="VerbatimChar"/>
        </w:rPr>
        <w:t xml:space="preserve">GitHub → GitHub Actions (WIF, no static keys) → build/test/scan</w:t>
      </w:r>
      <w:r>
        <w:br/>
      </w:r>
      <w:r>
        <w:rPr>
          <w:rStyle w:val="VerbatimChar"/>
        </w:rPr>
        <w:t xml:space="preserve">       → push image to Artifact Registry</w:t>
      </w:r>
      <w:r>
        <w:br/>
      </w:r>
      <w:r>
        <w:rPr>
          <w:rStyle w:val="VerbatimChar"/>
        </w:rPr>
        <w:t xml:space="preserve">       → deploy to Cloud Run (per environment)</w:t>
      </w:r>
      <w:r>
        <w:br/>
      </w:r>
      <w:r>
        <w:br/>
      </w:r>
      <w:r>
        <w:rPr>
          <w:rStyle w:val="VerbatimChar"/>
        </w:rPr>
        <w:t xml:space="preserve">Environments: dev → staging → prod  (separate GCP projects)</w:t>
      </w:r>
      <w:r>
        <w:br/>
      </w:r>
      <w:r>
        <w:br/>
      </w:r>
      <w:r>
        <w:rPr>
          <w:rStyle w:val="VerbatimChar"/>
        </w:rPr>
        <w:t xml:space="preserve">           ┌──────────── Cloud Run ────────────┐</w:t>
      </w:r>
      <w:r>
        <w:br/>
      </w:r>
      <w:r>
        <w:rPr>
          <w:rStyle w:val="VerbatimChar"/>
        </w:rPr>
        <w:t xml:space="preserve"> Clients → │  api (gateway+modules)  worker(jobs)│</w:t>
      </w:r>
      <w:r>
        <w:br/>
      </w:r>
      <w:r>
        <w:rPr>
          <w:rStyle w:val="VerbatimChar"/>
        </w:rPr>
        <w:t xml:space="preserve">           └─────────┬───────────────┬──────────┘</w:t>
      </w:r>
      <w:r>
        <w:br/>
      </w:r>
      <w:r>
        <w:rPr>
          <w:rStyle w:val="VerbatimChar"/>
        </w:rPr>
        <w:t xml:space="preserve">                     │               │</w:t>
      </w:r>
      <w:r>
        <w:br/>
      </w:r>
      <w:r>
        <w:rPr>
          <w:rStyle w:val="VerbatimChar"/>
        </w:rPr>
        <w:t xml:space="preserve">        Cloud SQL (Postgres HA)   Cloud Tasks</w:t>
      </w:r>
      <w:r>
        <w:br/>
      </w:r>
      <w:r>
        <w:rPr>
          <w:rStyle w:val="VerbatimChar"/>
        </w:rPr>
        <w:t xml:space="preserve">        + read replica            (async queue)</w:t>
      </w:r>
      <w:r>
        <w:br/>
      </w:r>
      <w:r>
        <w:rPr>
          <w:rStyle w:val="VerbatimChar"/>
        </w:rPr>
        <w:t xml:space="preserve">                     │</w:t>
      </w:r>
      <w:r>
        <w:br/>
      </w:r>
      <w:r>
        <w:rPr>
          <w:rStyle w:val="VerbatimChar"/>
        </w:rPr>
        <w:t xml:space="preserve">        GCS (docs, India region, CMEK) · Memorystore (Redis)</w:t>
      </w:r>
      <w:r>
        <w:br/>
      </w:r>
      <w:r>
        <w:rPr>
          <w:rStyle w:val="VerbatimChar"/>
        </w:rPr>
        <w:t xml:space="preserve">        · Secret Manager · Cloud KMS · Cloud Logging/Monitoring/Trace</w:t>
      </w:r>
    </w:p>
    <w:p>
      <w:pPr>
        <w:pStyle w:val="Compact"/>
        <w:numPr>
          <w:ilvl w:val="0"/>
          <w:numId w:val="1009"/>
        </w:numPr>
      </w:pPr>
      <w:r>
        <w:rPr>
          <w:b/>
          <w:bCs/>
        </w:rPr>
        <w:t xml:space="preserve">Compute:</w:t>
      </w:r>
      <w:r>
        <w:t xml:space="preserve"> </w:t>
      </w:r>
      <w:r>
        <w:t xml:space="preserve">stateless</w:t>
      </w:r>
      <w:r>
        <w:t xml:space="preserve"> </w:t>
      </w:r>
      <w:r>
        <w:rPr>
          <w:rStyle w:val="VerbatimChar"/>
        </w:rPr>
        <w:t xml:space="preserve">api</w:t>
      </w:r>
      <w:r>
        <w:t xml:space="preserve"> </w:t>
      </w:r>
      <w:r>
        <w:t xml:space="preserve">and</w:t>
      </w:r>
      <w:r>
        <w:t xml:space="preserve"> </w:t>
      </w:r>
      <w:r>
        <w:rPr>
          <w:rStyle w:val="VerbatimChar"/>
        </w:rPr>
        <w:t xml:space="preserve">worker</w:t>
      </w:r>
      <w:r>
        <w:t xml:space="preserve"> </w:t>
      </w:r>
      <w:r>
        <w:t xml:space="preserve">Cloud Run services, autoscaling, multi-zone.</w:t>
      </w:r>
    </w:p>
    <w:p>
      <w:pPr>
        <w:pStyle w:val="Compact"/>
        <w:numPr>
          <w:ilvl w:val="0"/>
          <w:numId w:val="1009"/>
        </w:numPr>
      </w:pPr>
      <w:r>
        <w:rPr>
          <w:b/>
          <w:bCs/>
        </w:rPr>
        <w:t xml:space="preserve">Data:</w:t>
      </w:r>
      <w:r>
        <w:t xml:space="preserve"> </w:t>
      </w:r>
      <w:r>
        <w:t xml:space="preserve">Cloud SQL Postgres with HA + automated backups + PITR; read replica for reporting.</w:t>
      </w:r>
    </w:p>
    <w:p>
      <w:pPr>
        <w:pStyle w:val="Compact"/>
        <w:numPr>
          <w:ilvl w:val="0"/>
          <w:numId w:val="1009"/>
        </w:numPr>
      </w:pPr>
      <w:r>
        <w:rPr>
          <w:b/>
          <w:bCs/>
        </w:rPr>
        <w:t xml:space="preserve">Networking:</w:t>
      </w:r>
      <w:r>
        <w:t xml:space="preserve"> </w:t>
      </w:r>
      <w:r>
        <w:t xml:space="preserve">HTTPS only; serverless VPC connector to private Cloud SQL/Redis; WAF/Cloud Armor at the edge.</w:t>
      </w:r>
    </w:p>
    <w:p>
      <w:pPr>
        <w:pStyle w:val="Compact"/>
        <w:numPr>
          <w:ilvl w:val="0"/>
          <w:numId w:val="1009"/>
        </w:numPr>
      </w:pPr>
      <w:r>
        <w:rPr>
          <w:b/>
          <w:bCs/>
        </w:rPr>
        <w:t xml:space="preserve">Secrets/keys:</w:t>
      </w:r>
      <w:r>
        <w:t xml:space="preserve"> </w:t>
      </w:r>
      <w:r>
        <w:t xml:space="preserve">Secret Manager + KMS; no long-lived credentials (WIF).</w:t>
      </w:r>
    </w:p>
    <w:p>
      <w:pPr>
        <w:pStyle w:val="Compact"/>
        <w:numPr>
          <w:ilvl w:val="0"/>
          <w:numId w:val="1009"/>
        </w:numPr>
      </w:pPr>
      <w:r>
        <w:rPr>
          <w:b/>
          <w:bCs/>
        </w:rPr>
        <w:t xml:space="preserve">IaC:</w:t>
      </w:r>
      <w:r>
        <w:t xml:space="preserve"> </w:t>
      </w:r>
      <w:r>
        <w:t xml:space="preserve">Terraform-managed, reviewed per environment.</w:t>
      </w:r>
    </w:p>
    <w:p>
      <w:pPr>
        <w:pStyle w:val="FirstParagraph"/>
      </w:pPr>
      <w:r>
        <w:rPr>
          <w:b/>
          <w:bCs/>
        </w:rPr>
        <w:t xml:space="preserve">[As built]</w:t>
      </w:r>
      <w:r>
        <w:t xml:space="preserve"> </w:t>
      </w:r>
      <w:r>
        <w:t xml:space="preserve">Not yet deployed — deferred by decision until Cloud SQL exists (plan and sequencing in</w:t>
      </w:r>
      <w:r>
        <w:t xml:space="preserve"> </w:t>
      </w:r>
      <w:r>
        <w:rPr>
          <w:rStyle w:val="VerbatimChar"/>
        </w:rPr>
        <w:t xml:space="preserve">DEPLOYMENT.md</w:t>
      </w:r>
      <w:r>
        <w:t xml:space="preserve">). In place today: the GitHub Actions CI workflow (pytest +</w:t>
      </w:r>
      <w:r>
        <w:t xml:space="preserve"> </w:t>
      </w:r>
      <w:r>
        <w:rPr>
          <w:rStyle w:val="VerbatimChar"/>
        </w:rPr>
        <w:t xml:space="preserve">alembic upgrade head</w:t>
      </w:r>
      <w:r>
        <w:t xml:space="preserve"> </w:t>
      </w:r>
      <w:r>
        <w:t xml:space="preserve">verification + frontend build), Alembic migrations, environment-driven config (</w:t>
      </w:r>
      <w:r>
        <w:rPr>
          <w:rStyle w:val="VerbatimChar"/>
        </w:rPr>
        <w:t xml:space="preserve">PAPER_DATABASE_URL</w:t>
      </w:r>
      <w:r>
        <w:t xml:space="preserve">,</w:t>
      </w:r>
      <w:r>
        <w:t xml:space="preserve"> </w:t>
      </w:r>
      <w:r>
        <w:rPr>
          <w:rStyle w:val="VerbatimChar"/>
        </w:rPr>
        <w:t xml:space="preserve">PAPER_ENVIRONMENT</w:t>
      </w:r>
      <w:r>
        <w:t xml:space="preserve">,</w:t>
      </w:r>
      <w:r>
        <w:t xml:space="preserve"> </w:t>
      </w:r>
      <w:r>
        <w:rPr>
          <w:rStyle w:val="VerbatimChar"/>
        </w:rPr>
        <w:t xml:space="preserve">PAPER_JWT_SECRET</w:t>
      </w:r>
      <w:r>
        <w:t xml:space="preserve">,</w:t>
      </w:r>
      <w:r>
        <w:t xml:space="preserve"> </w:t>
      </w:r>
      <w:r>
        <w:rPr>
          <w:rStyle w:val="VerbatimChar"/>
        </w:rPr>
        <w:t xml:space="preserve">PAPER_CORS_ORIGINS</w:t>
      </w:r>
      <w:r>
        <w:t xml:space="preserve">), and local dev via uvicorn + Vite.</w:t>
      </w:r>
    </w:p>
    <w:p>
      <w:r>
        <w:pict>
          <v:rect style="width:0;height:1.5pt" o:hralign="center" o:hrstd="t" o:hr="t"/>
        </w:pict>
      </w:r>
    </w:p>
    <w:bookmarkEnd w:id="40"/>
    <w:bookmarkStart w:id="41" w:name="X7b53c4517e26039fdd447c09a49465dfcb19fc1"/>
    <w:p>
      <w:pPr>
        <w:pStyle w:val="Heading2"/>
      </w:pPr>
      <w:r>
        <w:t xml:space="preserve">12. Cross-Cutting Concerns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Concern</w:t>
            </w:r>
          </w:p>
        </w:tc>
        <w:tc>
          <w:tcPr/>
          <w:p>
            <w:pPr>
              <w:pStyle w:val="Compact"/>
            </w:pPr>
            <w:r>
              <w:t xml:space="preserve">Approach</w:t>
            </w:r>
          </w:p>
        </w:tc>
      </w:tr>
      <w:tr>
        <w:tc>
          <w:tcPr/>
          <w:p>
            <w:pPr>
              <w:pStyle w:val="Compact"/>
            </w:pPr>
            <w:r>
              <w:t xml:space="preserve">Audit &amp; activity</w:t>
            </w:r>
          </w:p>
        </w:tc>
        <w:tc>
          <w:tcPr/>
          <w:p>
            <w:pPr>
              <w:pStyle w:val="Compact"/>
            </w:pPr>
            <w:r>
              <w:t xml:space="preserve">Central append-only log; all mutations via command/workflow layer.</w:t>
            </w:r>
          </w:p>
        </w:tc>
      </w:tr>
      <w:tr>
        <w:tc>
          <w:tcPr/>
          <w:p>
            <w:pPr>
              <w:pStyle w:val="Compact"/>
            </w:pPr>
            <w:r>
              <w:t xml:space="preserve">Notifications</w:t>
            </w:r>
          </w:p>
        </w:tc>
        <w:tc>
          <w:tcPr/>
          <w:p>
            <w:pPr>
              <w:pStyle w:val="Compact"/>
            </w:pPr>
            <w:r>
              <w:t xml:space="preserve">Email + in-app; SMS/WhatsApp for critical reminders; templated; per-user preferences.</w:t>
            </w:r>
          </w:p>
        </w:tc>
      </w:tr>
      <w:tr>
        <w:tc>
          <w:tcPr/>
          <w:p>
            <w:pPr>
              <w:pStyle w:val="Compact"/>
            </w:pPr>
            <w:r>
              <w:t xml:space="preserve">Reminders/scheduling</w:t>
            </w:r>
          </w:p>
        </w:tc>
        <w:tc>
          <w:tcPr/>
          <w:p>
            <w:pPr>
              <w:pStyle w:val="Compact"/>
            </w:pPr>
            <w:r>
              <w:t xml:space="preserve">Compliance calendar → scheduled jobs (Cloud Scheduler → Tasks) generate due/overdue notifications with assignee escalation.</w:t>
            </w:r>
          </w:p>
        </w:tc>
      </w:tr>
      <w:tr>
        <w:tc>
          <w:tcPr/>
          <w:p>
            <w:pPr>
              <w:pStyle w:val="Compact"/>
            </w:pPr>
            <w:r>
              <w:t xml:space="preserve">Observability</w:t>
            </w:r>
          </w:p>
        </w:tc>
        <w:tc>
          <w:tcPr/>
          <w:p>
            <w:pPr>
              <w:pStyle w:val="Compact"/>
            </w:pPr>
            <w:r>
              <w:t xml:space="preserve">Structured JSON logs, request tracing, metrics, alerting on SLOs.</w:t>
            </w:r>
          </w:p>
        </w:tc>
      </w:tr>
      <w:tr>
        <w:tc>
          <w:tcPr/>
          <w:p>
            <w:pPr>
              <w:pStyle w:val="Compact"/>
            </w:pPr>
            <w:r>
              <w:t xml:space="preserve">Error handling</w:t>
            </w:r>
          </w:p>
        </w:tc>
        <w:tc>
          <w:tcPr/>
          <w:p>
            <w:pPr>
              <w:pStyle w:val="Compact"/>
            </w:pPr>
            <w:r>
              <w:t xml:space="preserve">Typed errors, idempotent retries for integrations, dead-letter for failed jobs.</w:t>
            </w:r>
          </w:p>
        </w:tc>
      </w:tr>
      <w:tr>
        <w:tc>
          <w:tcPr/>
          <w:p>
            <w:pPr>
              <w:pStyle w:val="Compact"/>
            </w:pPr>
            <w:r>
              <w:t xml:space="preserve">Reporting/export</w:t>
            </w:r>
          </w:p>
        </w:tc>
        <w:tc>
          <w:tcPr/>
          <w:p>
            <w:pPr>
              <w:pStyle w:val="Compact"/>
            </w:pPr>
            <w:r>
              <w:t xml:space="preserve">Async report generation (cap table, ownership, LP capital accounts, compliance health) to PDF/Excel; tenant data export on demand (NFR-8/M-8).</w:t>
            </w:r>
          </w:p>
        </w:tc>
      </w:tr>
      <w:tr>
        <w:tc>
          <w:tcPr/>
          <w:p>
            <w:pPr>
              <w:pStyle w:val="Compact"/>
            </w:pPr>
            <w:r>
              <w:t xml:space="preserve">Internationalisation</w:t>
            </w:r>
          </w:p>
        </w:tc>
        <w:tc>
          <w:tcPr/>
          <w:p>
            <w:pPr>
              <w:pStyle w:val="Compact"/>
            </w:pPr>
            <w:r>
              <w:t xml:space="preserve">INR/Indian formats; English first; key flows localisable (P2).</w:t>
            </w:r>
          </w:p>
        </w:tc>
      </w:tr>
      <w:tr>
        <w:tc>
          <w:tcPr/>
          <w:p>
            <w:pPr>
              <w:pStyle w:val="Compact"/>
            </w:pPr>
            <w:r>
              <w:t xml:space="preserve">Feature gating</w:t>
            </w:r>
          </w:p>
        </w:tc>
        <w:tc>
          <w:tcPr/>
          <w:p>
            <w:pPr>
              <w:pStyle w:val="Compact"/>
            </w:pPr>
            <w:r>
              <w:t xml:space="preserve">Module enable/disable per tenant type (startup vs fund) and plan tier.</w:t>
            </w:r>
          </w:p>
        </w:tc>
      </w:tr>
    </w:tbl>
    <w:p>
      <w:r>
        <w:pict>
          <v:rect style="width:0;height:1.5pt" o:hralign="center" o:hrstd="t" o:hr="t"/>
        </w:pict>
      </w:r>
    </w:p>
    <w:bookmarkEnd w:id="41"/>
    <w:bookmarkStart w:id="42" w:name="Xfdb41bd0dad8814b5a2ea76d4262d9e11f61d75"/>
    <w:p>
      <w:pPr>
        <w:pStyle w:val="Heading2"/>
      </w:pPr>
      <w:r>
        <w:t xml:space="preserve">13. Key Design Decisions (ADR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Decision</w:t>
            </w:r>
          </w:p>
        </w:tc>
        <w:tc>
          <w:tcPr/>
          <w:p>
            <w:pPr>
              <w:pStyle w:val="Compact"/>
            </w:pPr>
            <w:r>
              <w:t xml:space="preserve">Why</w:t>
            </w:r>
          </w:p>
        </w:tc>
        <w:tc>
          <w:tcPr/>
          <w:p>
            <w:pPr>
              <w:pStyle w:val="Compact"/>
            </w:pPr>
            <w:r>
              <w:t xml:space="preserve">Trade-off</w:t>
            </w:r>
          </w:p>
        </w:tc>
      </w:tr>
      <w:tr>
        <w:tc>
          <w:tcPr/>
          <w:p>
            <w:pPr>
              <w:pStyle w:val="Compact"/>
            </w:pPr>
            <w:r>
              <w:t xml:space="preserve">ADR-1</w:t>
            </w:r>
          </w:p>
        </w:tc>
        <w:tc>
          <w:tcPr/>
          <w:p>
            <w:pPr>
              <w:pStyle w:val="Compact"/>
            </w:pPr>
            <w:r>
              <w:t xml:space="preserve">Modular monolith over microservices (v1)</w:t>
            </w:r>
          </w:p>
        </w:tc>
        <w:tc>
          <w:tcPr/>
          <w:p>
            <w:pPr>
              <w:pStyle w:val="Compact"/>
            </w:pPr>
            <w:r>
              <w:t xml:space="preserve">Dense relational core; faster delivery; clean seams for later extraction</w:t>
            </w:r>
          </w:p>
        </w:tc>
        <w:tc>
          <w:tcPr/>
          <w:p>
            <w:pPr>
              <w:pStyle w:val="Compact"/>
            </w:pPr>
            <w:r>
              <w:t xml:space="preserve">Single deploy unit; must enforce module boundaries in code.</w:t>
            </w:r>
          </w:p>
        </w:tc>
      </w:tr>
      <w:tr>
        <w:tc>
          <w:tcPr/>
          <w:p>
            <w:pPr>
              <w:pStyle w:val="Compact"/>
            </w:pPr>
            <w:r>
              <w:t xml:space="preserve">ADR-2</w:t>
            </w:r>
          </w:p>
        </w:tc>
        <w:tc>
          <w:tcPr/>
          <w:p>
            <w:pPr>
              <w:pStyle w:val="Compact"/>
            </w:pPr>
            <w:r>
              <w:t xml:space="preserve">Event-sourced ledger + materialised snapshots for cap table &amp; capital accounts</w:t>
            </w:r>
          </w:p>
        </w:tc>
        <w:tc>
          <w:tcPr/>
          <w:p>
            <w:pPr>
              <w:pStyle w:val="Compact"/>
            </w:pPr>
            <w:r>
              <w:t xml:space="preserve">Traceability (NFR-7), time-travel, audit</w:t>
            </w:r>
          </w:p>
        </w:tc>
        <w:tc>
          <w:tcPr/>
          <w:p>
            <w:pPr>
              <w:pStyle w:val="Compact"/>
            </w:pPr>
            <w:r>
              <w:t xml:space="preserve">More compute to project; recomputation logic to maintain.</w:t>
            </w:r>
          </w:p>
        </w:tc>
      </w:tr>
      <w:tr>
        <w:tc>
          <w:tcPr/>
          <w:p>
            <w:pPr>
              <w:pStyle w:val="Compact"/>
            </w:pPr>
            <w:r>
              <w:t xml:space="preserve">ADR-3</w:t>
            </w:r>
          </w:p>
        </w:tc>
        <w:tc>
          <w:tcPr/>
          <w:p>
            <w:pPr>
              <w:pStyle w:val="Compact"/>
            </w:pPr>
            <w:r>
              <w:t xml:space="preserve">Rules/forms/deadlines as versioned data</w:t>
            </w:r>
          </w:p>
        </w:tc>
        <w:tc>
          <w:tcPr/>
          <w:p>
            <w:pPr>
              <w:pStyle w:val="Compact"/>
            </w:pPr>
            <w:r>
              <w:t xml:space="preserve">Regulation changes without code changes</w:t>
            </w:r>
          </w:p>
        </w:tc>
        <w:tc>
          <w:tcPr/>
          <w:p>
            <w:pPr>
              <w:pStyle w:val="Compact"/>
            </w:pPr>
            <w:r>
              <w:t xml:space="preserve">Needs a rules-authoring + governance process.</w:t>
            </w:r>
          </w:p>
        </w:tc>
      </w:tr>
      <w:tr>
        <w:tc>
          <w:tcPr/>
          <w:p>
            <w:pPr>
              <w:pStyle w:val="Compact"/>
            </w:pPr>
            <w:r>
              <w:t xml:space="preserve">ADR-4</w:t>
            </w:r>
          </w:p>
        </w:tc>
        <w:tc>
          <w:tcPr/>
          <w:p>
            <w:pPr>
              <w:pStyle w:val="Compact"/>
            </w:pPr>
            <w:r>
              <w:t xml:space="preserve">Workflow engine as the mutation backbone</w:t>
            </w:r>
          </w:p>
        </w:tc>
        <w:tc>
          <w:tcPr/>
          <w:p>
            <w:pPr>
              <w:pStyle w:val="Compact"/>
            </w:pPr>
            <w:r>
              <w:t xml:space="preserve">Auditable, resumable, config-driven processes</w:t>
            </w:r>
          </w:p>
        </w:tc>
        <w:tc>
          <w:tcPr/>
          <w:p>
            <w:pPr>
              <w:pStyle w:val="Compact"/>
            </w:pPr>
            <w:r>
              <w:t xml:space="preserve">Engine is critical infrastructure; must be robust.</w:t>
            </w:r>
          </w:p>
        </w:tc>
      </w:tr>
      <w:tr>
        <w:tc>
          <w:tcPr/>
          <w:p>
            <w:pPr>
              <w:pStyle w:val="Compact"/>
            </w:pPr>
            <w:r>
              <w:t xml:space="preserve">ADR-5</w:t>
            </w:r>
          </w:p>
        </w:tc>
        <w:tc>
          <w:tcPr/>
          <w:p>
            <w:pPr>
              <w:pStyle w:val="Compact"/>
            </w:pPr>
            <w:r>
              <w:t xml:space="preserve">Postgres RLS for tenant isolation (+ app checks)</w:t>
            </w:r>
          </w:p>
        </w:tc>
        <w:tc>
          <w:tcPr/>
          <w:p>
            <w:pPr>
              <w:pStyle w:val="Compact"/>
            </w:pPr>
            <w:r>
              <w:t xml:space="preserve">Defence-in-depth against cross-tenant leakage</w:t>
            </w:r>
          </w:p>
        </w:tc>
        <w:tc>
          <w:tcPr/>
          <w:p>
            <w:pPr>
              <w:pStyle w:val="Compact"/>
            </w:pPr>
            <w:r>
              <w:t xml:space="preserve">RLS adds query complexity.</w:t>
            </w:r>
          </w:p>
        </w:tc>
      </w:tr>
      <w:tr>
        <w:tc>
          <w:tcPr/>
          <w:p>
            <w:pPr>
              <w:pStyle w:val="Compact"/>
            </w:pPr>
            <w:r>
              <w:t xml:space="preserve">ADR-6</w:t>
            </w:r>
          </w:p>
        </w:tc>
        <w:tc>
          <w:tcPr/>
          <w:p>
            <w:pPr>
              <w:pStyle w:val="Compact"/>
            </w:pPr>
            <w:r>
              <w:t xml:space="preserve">Integrate specialist providers behind adapters</w:t>
            </w:r>
          </w:p>
        </w:tc>
        <w:tc>
          <w:tcPr/>
          <w:p>
            <w:pPr>
              <w:pStyle w:val="Compact"/>
            </w:pPr>
            <w:r>
              <w:t xml:space="preserve">Speed, compliance, focus</w:t>
            </w:r>
          </w:p>
        </w:tc>
        <w:tc>
          <w:tcPr/>
          <w:p>
            <w:pPr>
              <w:pStyle w:val="Compact"/>
            </w:pPr>
            <w:r>
              <w:t xml:space="preserve">Vendor dependency; adapter maintenance.</w:t>
            </w:r>
          </w:p>
        </w:tc>
      </w:tr>
      <w:tr>
        <w:tc>
          <w:tcPr/>
          <w:p>
            <w:pPr>
              <w:pStyle w:val="Compact"/>
            </w:pPr>
            <w:r>
              <w:t xml:space="preserve">ADR-7</w:t>
            </w:r>
          </w:p>
        </w:tc>
        <w:tc>
          <w:tcPr/>
          <w:p>
            <w:pPr>
              <w:pStyle w:val="Compact"/>
            </w:pPr>
            <w:r>
              <w:t xml:space="preserve">Prepare-and-assist filing model</w:t>
            </w:r>
          </w:p>
        </w:tc>
        <w:tc>
          <w:tcPr/>
          <w:p>
            <w:pPr>
              <w:pStyle w:val="Compact"/>
            </w:pPr>
            <w:r>
              <w:t xml:space="preserve">Legal/licensing reality in India</w:t>
            </w:r>
          </w:p>
        </w:tc>
        <w:tc>
          <w:tcPr/>
          <w:p>
            <w:pPr>
              <w:pStyle w:val="Compact"/>
            </w:pPr>
            <w:r>
              <w:t xml:space="preserve">Not fully self-serve for statutory filing; partner network required.</w:t>
            </w:r>
          </w:p>
        </w:tc>
      </w:tr>
      <w:tr>
        <w:tc>
          <w:tcPr/>
          <w:p>
            <w:pPr>
              <w:pStyle w:val="Compact"/>
            </w:pPr>
            <w:r>
              <w:t xml:space="preserve">ADR-8</w:t>
            </w:r>
            <w:r>
              <w:t xml:space="preserve"> </w:t>
            </w:r>
            <w:r>
              <w:rPr>
                <w:i/>
                <w:iCs/>
              </w:rPr>
              <w:t xml:space="preserve">(added v1.0)</w:t>
            </w:r>
          </w:p>
        </w:tc>
        <w:tc>
          <w:tcPr/>
          <w:p>
            <w:pPr>
              <w:pStyle w:val="Compact"/>
            </w:pPr>
            <w:r>
              <w:t xml:space="preserve">Uniform IST platform clock (</w:t>
            </w:r>
            <w:r>
              <w:rPr>
                <w:rStyle w:val="VerbatimChar"/>
              </w:rPr>
              <w:t xml:space="preserve">app/clock.py</w:t>
            </w:r>
            <w:r>
              <w:t xml:space="preserve">) for all recorded times; JWT exp/iat stay UTC</w:t>
            </w:r>
          </w:p>
        </w:tc>
        <w:tc>
          <w:tcPr/>
          <w:p>
            <w:pPr>
              <w:pStyle w:val="Compact"/>
            </w:pPr>
            <w:r>
              <w:t xml:space="preserve">Host timezones vary (dev boxes, Cloud Run is UTC); due-date and accrual math must not shift on deployment</w:t>
            </w:r>
          </w:p>
        </w:tc>
        <w:tc>
          <w:tcPr/>
          <w:p>
            <w:pPr>
              <w:pStyle w:val="Compact"/>
            </w:pPr>
            <w:r>
              <w:t xml:space="preserve">Naive-IST columns; conversions needed if multi-timezone display ever matters.</w:t>
            </w:r>
          </w:p>
        </w:tc>
      </w:tr>
      <w:tr>
        <w:tc>
          <w:tcPr/>
          <w:p>
            <w:pPr>
              <w:pStyle w:val="Compact"/>
            </w:pPr>
            <w:r>
              <w:t xml:space="preserve">ADR-9</w:t>
            </w:r>
            <w:r>
              <w:t xml:space="preserve"> </w:t>
            </w:r>
            <w:r>
              <w:rPr>
                <w:i/>
                <w:iCs/>
              </w:rPr>
              <w:t xml:space="preserve">(added v1.0)</w:t>
            </w:r>
          </w:p>
        </w:tc>
        <w:tc>
          <w:tcPr/>
          <w:p>
            <w:pPr>
              <w:pStyle w:val="Compact"/>
            </w:pPr>
            <w:r>
              <w:t xml:space="preserve">Stage-based progressive disclosure as data (</w:t>
            </w:r>
            <w:r>
              <w:rPr>
                <w:rStyle w:val="VerbatimChar"/>
              </w:rPr>
              <w:t xml:space="preserve">app/stages.py</w:t>
            </w:r>
            <w:r>
              <w:t xml:space="preserve">)</w:t>
            </w:r>
          </w:p>
        </w:tc>
        <w:tc>
          <w:tcPr/>
          <w:p>
            <w:pPr>
              <w:pStyle w:val="Compact"/>
            </w:pPr>
            <w:r>
              <w:t xml:space="preserve">21 modules overwhelm a first-time founder; stages surface what matters now with auto-checked guidance</w:t>
            </w:r>
          </w:p>
        </w:tc>
        <w:tc>
          <w:tcPr/>
          <w:p>
            <w:pPr>
              <w:pStyle w:val="Compact"/>
            </w:pPr>
            <w:r>
              <w:t xml:space="preserve">Stage/tab/feature mappings must be maintained as modules evolve; "show all" escape hatch prevents lock-out.</w:t>
            </w:r>
          </w:p>
        </w:tc>
      </w:tr>
      <w:tr>
        <w:tc>
          <w:tcPr/>
          <w:p>
            <w:pPr>
              <w:pStyle w:val="Compact"/>
            </w:pPr>
            <w:r>
              <w:t xml:space="preserve">ADR-10</w:t>
            </w:r>
            <w:r>
              <w:t xml:space="preserve"> </w:t>
            </w:r>
            <w:r>
              <w:rPr>
                <w:i/>
                <w:iCs/>
              </w:rPr>
              <w:t xml:space="preserve">(added v1.0)</w:t>
            </w:r>
          </w:p>
        </w:tc>
        <w:tc>
          <w:tcPr/>
          <w:p>
            <w:pPr>
              <w:pStyle w:val="Compact"/>
            </w:pPr>
            <w:r>
              <w:t xml:space="preserve">Projections computed on read (no materialised snapshots yet)</w:t>
            </w:r>
          </w:p>
        </w:tc>
        <w:tc>
          <w:tcPr/>
          <w:p>
            <w:pPr>
              <w:pStyle w:val="Compact"/>
            </w:pPr>
            <w:r>
              <w:t xml:space="preserve">Simpler correctness story; ledgers are small at current scale</w:t>
            </w:r>
          </w:p>
        </w:tc>
        <w:tc>
          <w:tcPr/>
          <w:p>
            <w:pPr>
              <w:pStyle w:val="Compact"/>
            </w:pPr>
            <w:r>
              <w:t xml:space="preserve">Recompute cost grows with ledger size; materialise (per ADR-2) when profiling demands it.</w:t>
            </w:r>
          </w:p>
        </w:tc>
      </w:tr>
    </w:tbl>
    <w:p>
      <w:r>
        <w:pict>
          <v:rect style="width:0;height:1.5pt" o:hralign="center" o:hrstd="t" o:hr="t"/>
        </w:pict>
      </w:r>
    </w:p>
    <w:bookmarkEnd w:id="42"/>
    <w:bookmarkStart w:id="43" w:name="X28cc5eddec27d29677b1c9e207742dc5a643033"/>
    <w:p>
      <w:pPr>
        <w:pStyle w:val="Heading2"/>
      </w:pPr>
      <w:r>
        <w:t xml:space="preserve">14. Mapping to Requirements &amp; Phasing</w:t>
      </w:r>
    </w:p>
    <w:p>
      <w:pPr>
        <w:pStyle w:val="Compact"/>
        <w:numPr>
          <w:ilvl w:val="0"/>
          <w:numId w:val="1010"/>
        </w:numPr>
      </w:pPr>
      <w:r>
        <w:rPr>
          <w:b/>
          <w:bCs/>
        </w:rPr>
        <w:t xml:space="preserve">Phase 1 (MVP):</w:t>
      </w:r>
      <w:r>
        <w:t xml:space="preserve"> </w:t>
      </w:r>
      <w:r>
        <w:t xml:space="preserve">Identity, Entity, CapTable, Document+e-Sign, DataRoom, Compliance (calendar + ROC/FEMA basics), Portal (basic), Workflow engine, Workspace/dashboard.</w:t>
      </w:r>
      <w:r>
        <w:t xml:space="preserve"> </w:t>
      </w:r>
      <w:r>
        <w:rPr>
          <w:b/>
          <w:bCs/>
        </w:rPr>
        <w:t xml:space="preserve">[Done]</w:t>
      </w:r>
    </w:p>
    <w:p>
      <w:pPr>
        <w:pStyle w:val="Compact"/>
        <w:numPr>
          <w:ilvl w:val="0"/>
          <w:numId w:val="1010"/>
        </w:numPr>
      </w:pPr>
      <w:r>
        <w:rPr>
          <w:b/>
          <w:bCs/>
        </w:rPr>
        <w:t xml:space="preserve">Phase 2:</w:t>
      </w:r>
      <w:r>
        <w:t xml:space="preserve"> </w:t>
      </w:r>
      <w:r>
        <w:t xml:space="preserve">FundAdmin (AIF) + SPV, full ESOP, Fundraising compliance/closing automation, Valuation workflows, full Governance, Services marketplace, Managed Admin, CLM, Team.</w:t>
      </w:r>
      <w:r>
        <w:t xml:space="preserve"> </w:t>
      </w:r>
      <w:r>
        <w:rPr>
          <w:b/>
          <w:bCs/>
        </w:rPr>
        <w:t xml:space="preserve">[Done functionally]</w:t>
      </w:r>
      <w:r>
        <w:t xml:space="preserve"> </w:t>
      </w:r>
      <w:r>
        <w:t xml:space="preserve">— payments/accounting integrations remain credential-blocked.</w:t>
      </w:r>
    </w:p>
    <w:p>
      <w:pPr>
        <w:pStyle w:val="Compact"/>
        <w:numPr>
          <w:ilvl w:val="0"/>
          <w:numId w:val="1010"/>
        </w:numPr>
      </w:pPr>
      <w:r>
        <w:rPr>
          <w:b/>
          <w:bCs/>
        </w:rPr>
        <w:t xml:space="preserve">Phase 3:</w:t>
      </w:r>
      <w:r>
        <w:t xml:space="preserve"> </w:t>
      </w:r>
      <w:r>
        <w:t xml:space="preserve">Secondaries</w:t>
      </w:r>
      <w:r>
        <w:t xml:space="preserve"> </w:t>
      </w:r>
      <w:r>
        <w:rPr>
          <w:b/>
          <w:bCs/>
        </w:rPr>
        <w:t xml:space="preserve">[ROFR flow done]</w:t>
      </w:r>
      <w:r>
        <w:t xml:space="preserve">, AI drafting/review, custom &amp; analytics workflows, public API/webhooks, deeper portal</w:t>
      </w:r>
      <w:r>
        <w:t xml:space="preserve"> </w:t>
      </w:r>
      <w:r>
        <w:rPr>
          <w:b/>
          <w:bCs/>
        </w:rPr>
        <w:t xml:space="preserve">[consents, statements, tax forms, performance done]</w:t>
      </w:r>
      <w:r>
        <w:t xml:space="preserve">, multi-language.</w:t>
      </w:r>
    </w:p>
    <w:p>
      <w:pPr>
        <w:pStyle w:val="Compact"/>
        <w:numPr>
          <w:ilvl w:val="0"/>
          <w:numId w:val="1010"/>
        </w:numPr>
      </w:pPr>
      <w:r>
        <w:rPr>
          <w:b/>
          <w:bCs/>
        </w:rPr>
        <w:t xml:space="preserve">Current frontier (Phase 3.5, per REQUIREMENTS §9):</w:t>
      </w:r>
      <w:r>
        <w:t xml:space="preserve"> </w:t>
      </w:r>
      <w:r>
        <w:t xml:space="preserve">deployment (Cloud SQL + RLS + Cloud Run), email delivery + production auth, PDF rendering, cap-table import, then credentialed integrations.</w:t>
      </w:r>
    </w:p>
    <w:p>
      <w:pPr>
        <w:pStyle w:val="FirstParagraph"/>
      </w:pPr>
      <w:r>
        <w:t xml:space="preserve">Non-functional requirements (NFR-1..13) are satisfied by §6 (data/multi-tenancy/ledger/migrations), §10 (security/privacy/residency/audit), §11 (availability/deployment), §12 (cross-cutting), and ADR-8 (uniform IST clock).</w:t>
      </w:r>
    </w:p>
    <w:p>
      <w:r>
        <w:pict>
          <v:rect style="width:0;height:1.5pt" o:hralign="center" o:hrstd="t" o:hr="t"/>
        </w:pict>
      </w:r>
    </w:p>
    <w:bookmarkEnd w:id="43"/>
    <w:bookmarkStart w:id="44" w:name="Xe1068b0c1fdc25d8d1f71e8c3e1c59115dc2dee"/>
    <w:p>
      <w:pPr>
        <w:pStyle w:val="Heading2"/>
      </w:pPr>
      <w:r>
        <w:t xml:space="preserve">15. Risks &amp; Open Issues</w:t>
      </w:r>
    </w:p>
    <w:p>
      <w:pPr>
        <w:pStyle w:val="Compact"/>
        <w:numPr>
          <w:ilvl w:val="0"/>
          <w:numId w:val="1011"/>
        </w:numPr>
      </w:pPr>
      <w:r>
        <w:rPr>
          <w:b/>
          <w:bCs/>
        </w:rPr>
        <w:t xml:space="preserve">Regulatory accuracy &amp; change velocity</w:t>
      </w:r>
      <w:r>
        <w:t xml:space="preserve"> </w:t>
      </w:r>
      <w:r>
        <w:t xml:space="preserve">— mitigated by rules-as-data + professional review gates; needs ongoing legal maintenance.</w:t>
      </w:r>
    </w:p>
    <w:p>
      <w:pPr>
        <w:pStyle w:val="Compact"/>
        <w:numPr>
          <w:ilvl w:val="0"/>
          <w:numId w:val="1011"/>
        </w:numPr>
      </w:pPr>
      <w:r>
        <w:rPr>
          <w:b/>
          <w:bCs/>
        </w:rPr>
        <w:t xml:space="preserve">Integration availability</w:t>
      </w:r>
      <w:r>
        <w:t xml:space="preserve"> </w:t>
      </w:r>
      <w:r>
        <w:t xml:space="preserve">(MCA21/FIRMS lack clean APIs) — mitigated by assisted/export model; partner network for filing.</w:t>
      </w:r>
    </w:p>
    <w:p>
      <w:pPr>
        <w:pStyle w:val="Compact"/>
        <w:numPr>
          <w:ilvl w:val="0"/>
          <w:numId w:val="1011"/>
        </w:numPr>
      </w:pPr>
      <w:r>
        <w:rPr>
          <w:b/>
          <w:bCs/>
        </w:rPr>
        <w:t xml:space="preserve">Cross-tenant data sharing</w:t>
      </w:r>
      <w:r>
        <w:t xml:space="preserve"> </w:t>
      </w:r>
      <w:r>
        <w:t xml:space="preserve">(fund ↔ portco) — consent model must be airtight; privacy/legal sign-off required.</w:t>
      </w:r>
    </w:p>
    <w:p>
      <w:pPr>
        <w:pStyle w:val="Compact"/>
        <w:numPr>
          <w:ilvl w:val="0"/>
          <w:numId w:val="1011"/>
        </w:numPr>
      </w:pPr>
      <w:r>
        <w:rPr>
          <w:b/>
          <w:bCs/>
        </w:rPr>
        <w:t xml:space="preserve">Cap-table/waterfall correctness</w:t>
      </w:r>
      <w:r>
        <w:t xml:space="preserve"> </w:t>
      </w:r>
      <w:r>
        <w:t xml:space="preserve">— high-stakes math; requires extensive test suites and reconciliation against known scenarios.</w:t>
      </w:r>
    </w:p>
    <w:p>
      <w:pPr>
        <w:pStyle w:val="Compact"/>
        <w:numPr>
          <w:ilvl w:val="0"/>
          <w:numId w:val="1011"/>
        </w:numPr>
      </w:pPr>
      <w:r>
        <w:rPr>
          <w:b/>
          <w:bCs/>
        </w:rPr>
        <w:t xml:space="preserve">Scope breadth (20 modules)</w:t>
      </w:r>
      <w:r>
        <w:t xml:space="preserve"> </w:t>
      </w:r>
      <w:r>
        <w:t xml:space="preserve">— phased delivery; resist building Phase 2/3 modules before the core is proven.</w:t>
      </w:r>
    </w:p>
    <w:p>
      <w:pPr>
        <w:pStyle w:val="Compact"/>
        <w:numPr>
          <w:ilvl w:val="0"/>
          <w:numId w:val="1011"/>
        </w:numPr>
      </w:pPr>
      <w:r>
        <w:rPr>
          <w:b/>
          <w:bCs/>
        </w:rPr>
        <w:t xml:space="preserve">Servicing vs SaaS positioning</w:t>
      </w:r>
      <w:r>
        <w:t xml:space="preserve"> </w:t>
      </w:r>
      <w:r>
        <w:t xml:space="preserve">— open product decision (see</w:t>
      </w:r>
      <w:r>
        <w:t xml:space="preserve"> </w:t>
      </w:r>
      <w:r>
        <w:rPr>
          <w:rStyle w:val="VerbatimChar"/>
        </w:rPr>
        <w:t xml:space="preserve">REQUIREMENTS.md §10</w:t>
      </w:r>
      <w:r>
        <w:t xml:space="preserve">); affects how much of P/O is built early.</w:t>
      </w:r>
    </w:p>
    <w:p>
      <w:r>
        <w:pict>
          <v:rect style="width:0;height:1.5pt" o:hralign="center" o:hrstd="t" o:hr="t"/>
        </w:pict>
      </w:r>
    </w:p>
    <w:bookmarkEnd w:id="44"/>
    <w:bookmarkStart w:id="45" w:name="Xc29bb3d8ee824a656bb48bd55d695c1dd9f9627"/>
    <w:p>
      <w:pPr>
        <w:pStyle w:val="Heading2"/>
      </w:pPr>
      <w:r>
        <w:t xml:space="preserve">16. As-Built Addendum (v1.0, 2026-07-14)</w:t>
      </w:r>
    </w:p>
    <w:p>
      <w:pPr>
        <w:pStyle w:val="FirstParagraph"/>
      </w:pPr>
      <w:r>
        <w:t xml:space="preserve">A condensed map of the implementation for engineers joining the codebase.</w:t>
      </w:r>
    </w:p>
    <w:p>
      <w:pPr>
        <w:pStyle w:val="BodyText"/>
      </w:pPr>
      <w:r>
        <w:rPr>
          <w:b/>
          <w:bCs/>
        </w:rPr>
        <w:t xml:space="preserve">Backend (</w:t>
      </w:r>
      <w:r>
        <w:rPr>
          <w:rStyle w:val="VerbatimChar"/>
          <w:b/>
          <w:bCs/>
        </w:rPr>
        <w:t xml:space="preserve">apps/api</w:t>
      </w:r>
      <w:r>
        <w:rPr>
          <w:b/>
          <w:bCs/>
        </w:rPr>
        <w:t xml:space="preserve">)</w:t>
      </w:r>
      <w:r>
        <w:t xml:space="preserve"> </w:t>
      </w:r>
      <w:r>
        <w:t xml:space="preserve">— FastAPI + SQLAlchemy 2.0; 71 tables across 21 bounded contexts; 174 pytest tests (</w:t>
      </w:r>
      <w:r>
        <w:rPr>
          <w:rStyle w:val="VerbatimChar"/>
        </w:rPr>
        <w:t xml:space="preserve">tests/test_journey.py</w:t>
      </w:r>
      <w:r>
        <w:t xml:space="preserve"> </w:t>
      </w:r>
      <w:r>
        <w:t xml:space="preserve">walks the full founder ladder end-to-end). Notable machinery:</w:t>
      </w:r>
    </w:p>
    <w:p>
      <w:pPr>
        <w:pStyle w:val="Compact"/>
        <w:numPr>
          <w:ilvl w:val="0"/>
          <w:numId w:val="1012"/>
        </w:numPr>
      </w:pPr>
      <w:r>
        <w:rPr>
          <w:rStyle w:val="VerbatimChar"/>
        </w:rPr>
        <w:t xml:space="preserve">app/deps.py</w:t>
      </w:r>
      <w:r>
        <w:t xml:space="preserve"> </w:t>
      </w:r>
      <w:r>
        <w:t xml:space="preserve">— a factory generates the (Ctx, dependency) pair for every entity-owned resource (ownership resolution + tenant role via a synthesized signature);</w:t>
      </w:r>
      <w:r>
        <w:t xml:space="preserve"> </w:t>
      </w:r>
      <w:r>
        <w:rPr>
          <w:rStyle w:val="VerbatimChar"/>
        </w:rPr>
        <w:t xml:space="preserve">get_owned</w:t>
      </w:r>
      <w:r>
        <w:t xml:space="preserve"> </w:t>
      </w:r>
      <w:r>
        <w:t xml:space="preserve">guards body-referenced ids.</w:t>
      </w:r>
    </w:p>
    <w:p>
      <w:pPr>
        <w:pStyle w:val="Compact"/>
        <w:numPr>
          <w:ilvl w:val="0"/>
          <w:numId w:val="1012"/>
        </w:numPr>
      </w:pPr>
      <w:r>
        <w:rPr>
          <w:rStyle w:val="VerbatimChar"/>
        </w:rPr>
        <w:t xml:space="preserve">app/clock.py</w:t>
      </w:r>
      <w:r>
        <w:t xml:space="preserve"> </w:t>
      </w:r>
      <w:r>
        <w:t xml:space="preserve">— the IST platform clock (ADR-8);</w:t>
      </w:r>
      <w:r>
        <w:t xml:space="preserve"> </w:t>
      </w:r>
      <w:r>
        <w:rPr>
          <w:rStyle w:val="VerbatimChar"/>
        </w:rPr>
        <w:t xml:space="preserve">app/middleware.py</w:t>
      </w:r>
      <w:r>
        <w:t xml:space="preserve"> </w:t>
      </w:r>
      <w:r>
        <w:t xml:space="preserve">— audit log of every mutating request;</w:t>
      </w:r>
      <w:r>
        <w:t xml:space="preserve"> </w:t>
      </w:r>
      <w:r>
        <w:rPr>
          <w:rStyle w:val="VerbatimChar"/>
        </w:rPr>
        <w:t xml:space="preserve">app/ratelimit.py</w:t>
      </w:r>
      <w:r>
        <w:t xml:space="preserve"> </w:t>
      </w:r>
      <w:r>
        <w:t xml:space="preserve">— login failure limiter.</w:t>
      </w:r>
    </w:p>
    <w:p>
      <w:pPr>
        <w:pStyle w:val="Compact"/>
        <w:numPr>
          <w:ilvl w:val="0"/>
          <w:numId w:val="1012"/>
        </w:numPr>
      </w:pPr>
      <w:r>
        <w:rPr>
          <w:rStyle w:val="VerbatimChar"/>
        </w:rPr>
        <w:t xml:space="preserve">app/services/captable.py</w:t>
      </w:r>
      <w:r>
        <w:t xml:space="preserve"> </w:t>
      </w:r>
      <w:r>
        <w:t xml:space="preserve">— the event-replay projection (cost basis follows shares) feeding cap table, waterfall, holdings validation;</w:t>
      </w:r>
      <w:r>
        <w:t xml:space="preserve"> </w:t>
      </w:r>
      <w:r>
        <w:rPr>
          <w:rStyle w:val="VerbatimChar"/>
        </w:rPr>
        <w:t xml:space="preserve">services/diluted.py</w:t>
      </w:r>
      <w:r>
        <w:t xml:space="preserve"> </w:t>
      </w:r>
      <w:r>
        <w:t xml:space="preserve">— fully-diluted + anti-dilution;</w:t>
      </w:r>
      <w:r>
        <w:t xml:space="preserve"> </w:t>
      </w:r>
      <w:r>
        <w:rPr>
          <w:rStyle w:val="VerbatimChar"/>
        </w:rPr>
        <w:t xml:space="preserve">services/placement.py</w:t>
      </w:r>
      <w:r>
        <w:t xml:space="preserve"> </w:t>
      </w:r>
      <w:r>
        <w:t xml:space="preserve">— Sec 42 offeree cap.</w:t>
      </w:r>
    </w:p>
    <w:p>
      <w:pPr>
        <w:pStyle w:val="Compact"/>
        <w:numPr>
          <w:ilvl w:val="0"/>
          <w:numId w:val="1012"/>
        </w:numPr>
      </w:pPr>
      <w:r>
        <w:rPr>
          <w:rStyle w:val="VerbatimChar"/>
        </w:rPr>
        <w:t xml:space="preserve">app/services/fund.py</w:t>
      </w:r>
      <w:r>
        <w:t xml:space="preserve"> </w:t>
      </w:r>
      <w:r>
        <w:t xml:space="preserve">+</w:t>
      </w:r>
      <w:r>
        <w:t xml:space="preserve"> </w:t>
      </w:r>
      <w:r>
        <w:rPr>
          <w:rStyle w:val="VerbatimChar"/>
        </w:rPr>
        <w:t xml:space="preserve">fund_perf.py</w:t>
      </w:r>
      <w:r>
        <w:t xml:space="preserve"> </w:t>
      </w:r>
      <w:r>
        <w:t xml:space="preserve">— capital accounts, European waterfall (ROC → hurdle → catch-up → carry), fee accrual/charging, ₹10-par units, DPI/RVPI/TVPI/XIRR.</w:t>
      </w:r>
    </w:p>
    <w:p>
      <w:pPr>
        <w:pStyle w:val="Compact"/>
        <w:numPr>
          <w:ilvl w:val="0"/>
          <w:numId w:val="1012"/>
        </w:numPr>
      </w:pPr>
      <w:r>
        <w:rPr>
          <w:rStyle w:val="VerbatimChar"/>
        </w:rPr>
        <w:t xml:space="preserve">app/services/round.py</w:t>
      </w:r>
      <w:r>
        <w:t xml:space="preserve"> </w:t>
      </w:r>
      <w:r>
        <w:t xml:space="preserve">— round close converts outstanding SAFEs/notes automatically (pre-money cap basis) before allotments and injects PAS-3/FC-GPR.</w:t>
      </w:r>
    </w:p>
    <w:p>
      <w:pPr>
        <w:pStyle w:val="Compact"/>
        <w:numPr>
          <w:ilvl w:val="0"/>
          <w:numId w:val="1012"/>
        </w:numPr>
      </w:pPr>
      <w:r>
        <w:rPr>
          <w:rStyle w:val="VerbatimChar"/>
        </w:rPr>
        <w:t xml:space="preserve">app/stages.py</w:t>
      </w:r>
      <w:r>
        <w:t xml:space="preserve"> </w:t>
      </w:r>
      <w:r>
        <w:t xml:space="preserve">+</w:t>
      </w:r>
      <w:r>
        <w:t xml:space="preserve"> </w:t>
      </w:r>
      <w:r>
        <w:rPr>
          <w:rStyle w:val="VerbatimChar"/>
        </w:rPr>
        <w:t xml:space="preserve">services/stage.py</w:t>
      </w:r>
      <w:r>
        <w:t xml:space="preserve"> </w:t>
      </w:r>
      <w:r>
        <w:t xml:space="preserve">— lifecycle stages (inception → pre-seed → seed → series → pre-IPO) with data-driven checklists, tab/feature gating, and stage suggestion.</w:t>
      </w:r>
    </w:p>
    <w:p>
      <w:pPr>
        <w:pStyle w:val="Compact"/>
        <w:numPr>
          <w:ilvl w:val="0"/>
          <w:numId w:val="1012"/>
        </w:numPr>
      </w:pPr>
      <w:r>
        <w:t xml:space="preserve">Rules-as-data registries: compliance (</w:t>
      </w:r>
      <w:r>
        <w:rPr>
          <w:rStyle w:val="VerbatimChar"/>
        </w:rPr>
        <w:t xml:space="preserve">app/compliance/rules.py</w:t>
      </w:r>
      <w:r>
        <w:t xml:space="preserve">), templates (</w:t>
      </w:r>
      <w:r>
        <w:rPr>
          <w:rStyle w:val="VerbatimChar"/>
        </w:rPr>
        <w:t xml:space="preserve">app/documents/templates.py</w:t>
      </w:r>
      <w:r>
        <w:t xml:space="preserve">), workflows (</w:t>
      </w:r>
      <w:r>
        <w:rPr>
          <w:rStyle w:val="VerbatimChar"/>
        </w:rPr>
        <w:t xml:space="preserve">app/workflows/registry.py</w:t>
      </w:r>
      <w:r>
        <w:t xml:space="preserve">).</w:t>
      </w:r>
    </w:p>
    <w:p>
      <w:pPr>
        <w:pStyle w:val="FirstParagraph"/>
      </w:pPr>
      <w:r>
        <w:rPr>
          <w:b/>
          <w:bCs/>
        </w:rPr>
        <w:t xml:space="preserve">Frontend (</w:t>
      </w:r>
      <w:r>
        <w:rPr>
          <w:rStyle w:val="VerbatimChar"/>
          <w:b/>
          <w:bCs/>
        </w:rPr>
        <w:t xml:space="preserve">apps/web</w:t>
      </w:r>
      <w:r>
        <w:rPr>
          <w:b/>
          <w:bCs/>
        </w:rPr>
        <w:t xml:space="preserve">)</w:t>
      </w:r>
      <w:r>
        <w:t xml:space="preserve"> </w:t>
      </w:r>
      <w:r>
        <w:t xml:space="preserve">— React 18 + Vite + TS; typed fetch client (</w:t>
      </w:r>
      <w:r>
        <w:rPr>
          <w:rStyle w:val="VerbatimChar"/>
        </w:rPr>
        <w:t xml:space="preserve">src/api.ts</w:t>
      </w:r>
      <w:r>
        <w:t xml:space="preserve">); grouped two-level navigation with stage-filtered tabs (</w:t>
      </w:r>
      <w:r>
        <w:rPr>
          <w:rStyle w:val="VerbatimChar"/>
        </w:rPr>
        <w:t xml:space="preserve">pages/EntityDetail.tsx</w:t>
      </w:r>
      <w:r>
        <w:t xml:space="preserve">); feature components per module under</w:t>
      </w:r>
      <w:r>
        <w:t xml:space="preserve"> </w:t>
      </w:r>
      <w:r>
        <w:rPr>
          <w:rStyle w:val="VerbatimChar"/>
        </w:rPr>
        <w:t xml:space="preserve">src/features/</w:t>
      </w:r>
      <w:r>
        <w:t xml:space="preserve">; investor/LP/employee portal (</w:t>
      </w:r>
      <w:r>
        <w:rPr>
          <w:rStyle w:val="VerbatimChar"/>
        </w:rPr>
        <w:t xml:space="preserve">pages/Portal.tsx</w:t>
      </w:r>
      <w:r>
        <w:t xml:space="preserve">) with consents, sale requests, statements and tax forms; vitest suite.</w:t>
      </w:r>
    </w:p>
    <w:p>
      <w:pPr>
        <w:pStyle w:val="BodyText"/>
      </w:pPr>
      <w:r>
        <w:rPr>
          <w:b/>
          <w:bCs/>
        </w:rPr>
        <w:t xml:space="preserve">Operational state</w:t>
      </w:r>
      <w:r>
        <w:t xml:space="preserve"> </w:t>
      </w:r>
      <w:r>
        <w:t xml:space="preserve">— CI on GitHub Actions; Alembic chain verified for model parity; demo workspace seeded by</w:t>
      </w:r>
      <w:r>
        <w:t xml:space="preserve"> </w:t>
      </w:r>
      <w:r>
        <w:rPr>
          <w:rStyle w:val="VerbatimChar"/>
        </w:rPr>
        <w:t xml:space="preserve">apps/api/scripts/seed_demo.py --fresh</w:t>
      </w:r>
      <w:r>
        <w:t xml:space="preserve"> </w:t>
      </w:r>
      <w:r>
        <w:t xml:space="preserve">(login</w:t>
      </w:r>
      <w:r>
        <w:t xml:space="preserve"> </w:t>
      </w:r>
      <w:r>
        <w:rPr>
          <w:rStyle w:val="VerbatimChar"/>
        </w:rPr>
        <w:t xml:space="preserve">demo@acme.in</w:t>
      </w:r>
      <w:r>
        <w:t xml:space="preserve">); deployment deferred per</w:t>
      </w:r>
      <w:r>
        <w:t xml:space="preserve"> </w:t>
      </w:r>
      <w:r>
        <w:rPr>
          <w:rStyle w:val="VerbatimChar"/>
        </w:rPr>
        <w:t xml:space="preserve">DEPLOYMENT.md</w:t>
      </w:r>
      <w:r>
        <w:t xml:space="preserve">.</w:t>
      </w:r>
    </w:p>
    <w:p>
      <w:r>
        <w:pict>
          <v:rect style="width:0;height:1.5pt" o:hralign="center" o:hrstd="t" o:hr="t"/>
        </w:pict>
      </w:r>
    </w:p>
    <w:p>
      <w:pPr>
        <w:pStyle w:val="FirstParagraph"/>
      </w:pPr>
      <w:r>
        <w:rPr>
          <w:i/>
          <w:iCs/>
        </w:rPr>
        <w:t xml:space="preserve">Companion documents:</w:t>
      </w:r>
      <w:r>
        <w:rPr>
          <w:i/>
          <w:iCs/>
        </w:rPr>
        <w:t xml:space="preserve"> </w:t>
      </w:r>
      <w:r>
        <w:rPr>
          <w:rStyle w:val="VerbatimChar"/>
          <w:i/>
          <w:iCs/>
        </w:rPr>
        <w:t xml:space="preserve">REQUIREMENTS.md</w:t>
      </w:r>
      <w:r>
        <w:rPr>
          <w:i/>
          <w:iCs/>
        </w:rPr>
        <w:t xml:space="preserve"> </w:t>
      </w:r>
      <w:r>
        <w:rPr>
          <w:i/>
          <w:iCs/>
        </w:rPr>
        <w:t xml:space="preserve">(functional/non-functional requirements, conceptual data model, per-FR status) and</w:t>
      </w:r>
      <w:r>
        <w:rPr>
          <w:i/>
          <w:iCs/>
        </w:rPr>
        <w:t xml:space="preserve"> </w:t>
      </w:r>
      <w:r>
        <w:rPr>
          <w:rStyle w:val="VerbatimChar"/>
          <w:i/>
          <w:iCs/>
        </w:rPr>
        <w:t xml:space="preserve">DEPLOYMENT.md</w:t>
      </w:r>
      <w:r>
        <w:rPr>
          <w:i/>
          <w:iCs/>
        </w:rPr>
        <w:t xml:space="preserve"> </w:t>
      </w:r>
      <w:r>
        <w:rPr>
          <w:i/>
          <w:iCs/>
        </w:rPr>
        <w:t xml:space="preserve">(deferred infra plan).</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learn.paperos.com/" TargetMode="External" /><Relationship Type="http://schemas.openxmlformats.org/officeDocument/2006/relationships/hyperlink" Id="rId12" Target="https://paperos.com/plans" TargetMode="External" /></Relationships>
</file>

<file path=word/_rels/footnotes.xml.rels><?xml version="1.0" encoding="UTF-8"?><Relationships xmlns="http://schemas.openxmlformats.org/package/2006/relationships"><Relationship Type="http://schemas.openxmlformats.org/officeDocument/2006/relationships/hyperlink" Id="rId13" Target="https://learn.paperos.com/" TargetMode="External" /><Relationship Type="http://schemas.openxmlformats.org/officeDocument/2006/relationships/hyperlink" Id="rId12" Target="https://paperos.com/pla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 High-Level Design (HLD)</dc:title>
  <dc:creator/>
  <cp:keywords/>
  <dcterms:created xsi:type="dcterms:W3CDTF">2026-07-14T15:54:04Z</dcterms:created>
  <dcterms:modified xsi:type="dcterms:W3CDTF">2026-07-14T15:54:04Z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An operating system for corporate legal — for Indian startups and funds</vt:lpwstr>
  </property>
</Properties>
</file>