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/>
        <w:jc w:val="center"/>
      </w:pPr>
      <w:r>
        <w:rPr>
          <w:rFonts w:ascii="Times New Roman" w:hAnsi="Times New Roman"/>
          <w:b/>
          <w:color w:val="000000"/>
          <w:sz w:val="28"/>
        </w:rPr>
        <w:t>HỢP ĐỒNG THUÊ KÊNH</w:t>
        <w:br/>
        <w:t>TRUYỀN DẪN QUỐC TẾ</w:t>
      </w:r>
    </w:p>
    <w:p>
      <w:pPr>
        <w:spacing w:after="240"/>
        <w:jc w:val="center"/>
      </w:pPr>
      <w:r>
        <w:rPr>
          <w:rFonts w:ascii="Times New Roman" w:hAnsi="Times New Roman"/>
          <w:i/>
          <w:sz w:val="26"/>
        </w:rPr>
        <w:t>Số: HD-TD-2026-004</w:t>
      </w:r>
    </w:p>
    <w:p>
      <w:pPr>
        <w:spacing w:after="240"/>
        <w:jc w:val="center"/>
      </w:pPr>
      <w:r>
        <w:rPr>
          <w:rFonts w:ascii="Times New Roman" w:hAnsi="Times New Roman"/>
          <w:i/>
          <w:color w:val="808080"/>
          <w:sz w:val="22"/>
        </w:rPr>
        <w:t>[Mô phỏng — không sử dụng dữ liệu thật]</w:t>
      </w:r>
    </w:p>
    <w:p>
      <w:pPr>
        <w:spacing w:after="40"/>
      </w:pPr>
      <w:r>
        <w:rPr>
          <w:rFonts w:ascii="Times New Roman" w:hAnsi="Times New Roman"/>
          <w:b/>
          <w:sz w:val="28"/>
        </w:rPr>
        <w:t>Bên A: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Công ty Cổ phần Viễn thông Mô phỏng (VTN-Sim)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Địa chỉ: 123 đường Nguyễn Văn Cừ, Quận 5, TP. HCM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Mã số thuế: 0301234567-001 (mô phỏng)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Người đại diện: Ngô Văn Hùng — Giám đốc Khối Doanh nghiệp</w:t>
      </w:r>
    </w:p>
    <w:p>
      <w:pPr>
        <w:jc w:val="both"/>
      </w:pPr>
      <w:r>
        <w:rPr>
          <w:rFonts w:ascii="Times New Roman" w:hAnsi="Times New Roman"/>
          <w:sz w:val="28"/>
        </w:rPr>
      </w:r>
    </w:p>
    <w:p>
      <w:pPr>
        <w:spacing w:after="40"/>
      </w:pPr>
      <w:r>
        <w:rPr>
          <w:rFonts w:ascii="Times New Roman" w:hAnsi="Times New Roman"/>
          <w:b/>
          <w:sz w:val="28"/>
        </w:rPr>
        <w:t>Bên B: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Công ty TNHH Truyền dẫn Quốc tế Demo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Địa chỉ: 567 đường Điện Biên Phủ, Quận Bình Thạnh, TP. HCM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Mã số thuế: 0307890123-001 (mô phỏng)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Người đại diện: Lý Thị Khánh — Giám đốc Kinh doanh</w:t>
      </w:r>
    </w:p>
    <w:p>
      <w:pPr>
        <w:jc w:val="both"/>
      </w:pPr>
      <w:r>
        <w:rPr>
          <w:rFonts w:ascii="Times New Roman" w:hAnsi="Times New Roman"/>
          <w:sz w:val="28"/>
        </w:rPr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1: ĐỐI TƯỢNG HỢP ĐỒNG</w:t>
      </w:r>
    </w:p>
    <w:p>
      <w:pPr>
        <w:jc w:val="both"/>
      </w:pPr>
      <w:r>
        <w:rPr>
          <w:rFonts w:ascii="Times New Roman" w:hAnsi="Times New Roman"/>
          <w:sz w:val="28"/>
        </w:rPr>
        <w:t>Bên B cung cấp cho Bên A dịch vụ thuê kênh truyền dẫn quốc tế với thông số kỹ thuật: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Băng thông: 10 Gbps STM-64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Tuyến: Hồ Chí Minh — Singapore (qua cáp quang biển APG)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Cổng kết nối: 2 cổng 10GE tại POP Tân Thuận và POP Singapore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Độ trễ một chiều: ≤ 15 ms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Tỷ lệ mất gói tin: ≤ 0.01%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2: CAM KẾT MỨC DỊCH VỤ (SLA)</w:t>
      </w:r>
    </w:p>
    <w:p>
      <w:pPr>
        <w:jc w:val="both"/>
      </w:pPr>
      <w:r>
        <w:rPr>
          <w:rFonts w:ascii="Times New Roman" w:hAnsi="Times New Roman"/>
          <w:sz w:val="28"/>
        </w:rPr>
        <w:t>Bên B cam kết mức dịch vụ tối thiểu:</w:t>
      </w:r>
    </w:p>
    <w:p>
      <w:pPr>
        <w:ind w:left="283"/>
        <w:jc w:val="both"/>
      </w:pPr>
      <w:r>
        <w:rPr>
          <w:rFonts w:ascii="Times New Roman" w:hAnsi="Times New Roman"/>
          <w:sz w:val="28"/>
        </w:rPr>
        <w:t>a) Thời gian sẵn sàng — Uptime SLA: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Mục tiêu: 99.99% (tối đa 52.56 phút ngừng dịch vụ/năm)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Thời gian bảo trì định kỳ: tối đa 4 giờ/tháng, lịch trước 72 giờ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Thời gian bảo trì không tính vào SLA downtime</w:t>
      </w:r>
    </w:p>
    <w:p>
      <w:pPr>
        <w:ind w:left="283"/>
        <w:jc w:val="both"/>
      </w:pPr>
      <w:r>
        <w:rPr>
          <w:rFonts w:ascii="Times New Roman" w:hAnsi="Times New Roman"/>
          <w:sz w:val="28"/>
        </w:rPr>
        <w:t>b) Thời gian khôi phục sự cố — Disaster Recovery: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RTO (Recovery Time Objective): &lt; 4 giờ kể từ khi phát hiện sự cố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RPO (Recovery Point Objective): &lt; 1 giờ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Kế hoạch chuyển đổi dự phòng: dự phòng 2 tuyến cáp quang (APG + AAG)</w:t>
      </w:r>
    </w:p>
    <w:p>
      <w:pPr>
        <w:ind w:left="283"/>
        <w:jc w:val="both"/>
      </w:pPr>
      <w:r>
        <w:rPr>
          <w:rFonts w:ascii="Times New Roman" w:hAnsi="Times New Roman"/>
          <w:sz w:val="28"/>
        </w:rPr>
        <w:t>c) Báo cáo hiệu suất: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Báo cáo hàng tháng: uptime thực tế, số lần sự cố, thời gian khôi phục, độ trễ trung bình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Báo cáo quý: xu hướng hiệu suất, khuyến nghị cải thiện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Báo cáo sự cố riêng: trong 48 giờ sau mỗi sự cố, kèm phân tích nguyên nhân gốc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3: THỜI HẠN HỢP ĐỒNG</w:t>
      </w:r>
    </w:p>
    <w:p>
      <w:pPr>
        <w:jc w:val="both"/>
      </w:pPr>
      <w:r>
        <w:rPr>
          <w:rFonts w:ascii="Times New Roman" w:hAnsi="Times New Roman"/>
          <w:sz w:val="28"/>
        </w:rPr>
        <w:t>Hợp đồng có hiệu lực kể từ ngày 01 tháng 06 năm 2026.</w:t>
      </w:r>
    </w:p>
    <w:p>
      <w:pPr>
        <w:jc w:val="both"/>
      </w:pPr>
      <w:r>
        <w:rPr>
          <w:rFonts w:ascii="Times New Roman" w:hAnsi="Times New Roman"/>
          <w:sz w:val="28"/>
        </w:rPr>
        <w:t>Hợp đồng có thời hạn 24 tháng, hết hạn vào ngày 31 tháng 05 năm 2028.</w:t>
      </w:r>
    </w:p>
    <w:p>
      <w:pPr>
        <w:jc w:val="both"/>
      </w:pPr>
      <w:r>
        <w:rPr>
          <w:rFonts w:ascii="Times New Roman" w:hAnsi="Times New Roman"/>
          <w:sz w:val="28"/>
        </w:rPr>
        <w:t>Tự động gia hạn thêm 12 tháng trừ khi một bên thông báo bằng văn bản trước 90 ngày.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4: GIÁ TRỊ VÀ THANH TOÁN</w:t>
      </w:r>
    </w:p>
    <w:p>
      <w:pPr>
        <w:jc w:val="both"/>
      </w:pPr>
      <w:r>
        <w:rPr>
          <w:rFonts w:ascii="Times New Roman" w:hAnsi="Times New Roman"/>
          <w:sz w:val="28"/>
        </w:rPr>
        <w:t>Giá trị hợp đồng: 4.800.000.000 VNĐ/năm (Bốn tỷ tám trăm triệu đồng/năm).</w:t>
      </w:r>
    </w:p>
    <w:p>
      <w:pPr>
        <w:jc w:val="both"/>
      </w:pPr>
      <w:r>
        <w:rPr>
          <w:rFonts w:ascii="Times New Roman" w:hAnsi="Times New Roman"/>
          <w:sz w:val="28"/>
        </w:rPr>
        <w:t>Thanh toán hàng tháng: 400.000.000 VNĐ.</w:t>
      </w:r>
    </w:p>
    <w:p>
      <w:pPr>
        <w:jc w:val="both"/>
      </w:pPr>
      <w:r>
        <w:rPr>
          <w:rFonts w:ascii="Times New Roman" w:hAnsi="Times New Roman"/>
          <w:sz w:val="28"/>
        </w:rPr>
        <w:t>Thanh toán trong vòng 15 ngày kể từ ngày nhận hóa đơn.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5: ĐIỀU KHOẢN PHẠT</w:t>
      </w:r>
    </w:p>
    <w:p>
      <w:pPr>
        <w:jc w:val="both"/>
      </w:pPr>
      <w:r>
        <w:rPr>
          <w:rFonts w:ascii="Times New Roman" w:hAnsi="Times New Roman"/>
          <w:sz w:val="28"/>
        </w:rPr>
        <w:t>Nếu Bên B không đạt SLA uptime 99.99% trong một tháng: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Phạt 0.1% giá trị hợp đồng hàng tháng cho mỗi phút ngừng dịch vụ vượt quá mức cho phép.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Mức cho phép: 4.38 phút/tháng (= 52.56 phút/năm ÷ 12).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Tối đa phạt không quá 25% giá trị hợp đồng hàng tháng.</w:t>
      </w:r>
    </w:p>
    <w:p>
      <w:pPr>
        <w:jc w:val="both"/>
      </w:pPr>
      <w:r>
        <w:rPr>
          <w:rFonts w:ascii="Times New Roman" w:hAnsi="Times New Roman"/>
          <w:sz w:val="28"/>
        </w:rPr>
        <w:t>Nếu Bên B không khôi phục sự cố trong RTO 4 giờ: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Phạt thêm 50.000.000 VNĐ cho mỗi giờ vượt RTO.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Không giới hạn mức phạt RTO.</w:t>
      </w:r>
    </w:p>
    <w:p>
      <w:pPr>
        <w:jc w:val="both"/>
      </w:pPr>
      <w:r>
        <w:rPr>
          <w:rFonts w:ascii="Times New Roman" w:hAnsi="Times New Roman"/>
          <w:sz w:val="28"/>
        </w:rPr>
        <w:t>Nếu Bên A chậm thanh toán: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Phạt 0.05% giá trị chưa thanh toán cho mỗi ngày chậm.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Sau 30 ngày chậm, Bên B có quyền tạm ngưng dịch vụ sau khi thông báo trước 5 ngày.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6: CHẤM DỨT HỢP ĐỒNG</w:t>
      </w:r>
    </w:p>
    <w:p>
      <w:pPr>
        <w:jc w:val="both"/>
      </w:pPr>
      <w:r>
        <w:rPr>
          <w:rFonts w:ascii="Times New Roman" w:hAnsi="Times New Roman"/>
          <w:sz w:val="28"/>
        </w:rPr>
        <w:t>Hợp đồng chấm dứt khi: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Hết hạn theo Điều 3 mà không gia hạn.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Thỏa thuận bằng văn bản của cả hai bên.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Một bên vi phạm nghiêm trọng và không khắc phục trong 30 ngày.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SLA vi phạm 3 tháng liên tiếp: Bên A có quyền chấm dứt ngay lập tức mà không bồi thường.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7: BẢO MẬT THÔNG TIN</w:t>
      </w:r>
    </w:p>
    <w:p>
      <w:pPr>
        <w:jc w:val="both"/>
      </w:pPr>
      <w:r>
        <w:rPr>
          <w:rFonts w:ascii="Times New Roman" w:hAnsi="Times New Roman"/>
          <w:sz w:val="28"/>
        </w:rPr>
        <w:t>Cả hai bên cam kết bảo mật: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Dữ liệu lưu lượng truyền dẫn, thông tin khách hàng, cấu hình kỹ thuật.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Báo cáo hiệu suất và SLA không được chia sẻ cho bên thứ ba mà không có đồng ý bằng văn bản.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Nghĩa vụ bảo mật kéo dài 3 năm sau khi hợp đồng hết hạn.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8: BẢO HIỂM VÀ BỒI THƯỜNG</w:t>
      </w:r>
    </w:p>
    <w:p>
      <w:pPr>
        <w:jc w:val="both"/>
      </w:pPr>
      <w:r>
        <w:rPr>
          <w:rFonts w:ascii="Times New Roman" w:hAnsi="Times New Roman"/>
          <w:sz w:val="28"/>
        </w:rPr>
        <w:t>Bên B phải duy trì bảo hiểm trách nhiệm nghề nghiệp tối thiểu 1.000.000.000 VNĐ.</w:t>
      </w:r>
    </w:p>
    <w:p>
      <w:pPr>
        <w:jc w:val="both"/>
      </w:pPr>
      <w:r>
        <w:rPr>
          <w:rFonts w:ascii="Times New Roman" w:hAnsi="Times New Roman"/>
          <w:sz w:val="28"/>
        </w:rPr>
        <w:t>Tổng trách nhiệm bồi thường của Bên B không vượt quá giá trị hợp đồng của 03 tháng.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9: GIẢI QUYẾT TRANH CHẤP</w:t>
      </w:r>
    </w:p>
    <w:p>
      <w:pPr>
        <w:jc w:val="both"/>
      </w:pPr>
      <w:r>
        <w:rPr>
          <w:rFonts w:ascii="Times New Roman" w:hAnsi="Times New Roman"/>
          <w:sz w:val="28"/>
        </w:rPr>
        <w:t>Mọi tranh chấp phát sinh sẽ được giải quyết qua thương lượng trong 30 ngày.</w:t>
      </w:r>
    </w:p>
    <w:p>
      <w:pPr>
        <w:jc w:val="both"/>
      </w:pPr>
      <w:r>
        <w:rPr>
          <w:rFonts w:ascii="Times New Roman" w:hAnsi="Times New Roman"/>
          <w:sz w:val="28"/>
        </w:rPr>
        <w:t>Nếu không đạt, tranh chấp sẽ được đưa ra Trọng tài thương mại TP. HCM.</w:t>
      </w:r>
    </w:p>
    <w:p>
      <w:pPr>
        <w:jc w:val="both"/>
      </w:pPr>
      <w:r>
        <w:rPr>
          <w:rFonts w:ascii="Times New Roman" w:hAnsi="Times New Roman"/>
          <w:sz w:val="28"/>
        </w:rPr>
        <w:t>Mỗi bên chịu chi phí trọng tài của mình, trừ trường hợp trọng tài quyết định khác.</w:t>
      </w:r>
    </w:p>
    <w:p/>
    <w:p/>
    <w:p>
      <w:pPr>
        <w:jc w:val="center"/>
      </w:pPr>
      <w:r>
        <w:rPr>
          <w:rFonts w:ascii="Times New Roman" w:hAnsi="Times New Roman"/>
          <w:sz w:val="28"/>
        </w:rPr>
        <w:t>Ngày ký: 15 tháng 05 năm 2026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ĐẠI DIỆN BÊN A</w:t>
      </w:r>
      <w:r>
        <w:t xml:space="preserve">                    </w:t>
      </w:r>
      <w:r>
        <w:rPr>
          <w:rFonts w:ascii="Times New Roman" w:hAnsi="Times New Roman"/>
          <w:b/>
          <w:sz w:val="28"/>
        </w:rPr>
        <w:t>ĐẠI DIỆN BÊN B</w:t>
      </w:r>
    </w:p>
    <w:p>
      <w:pPr>
        <w:jc w:val="center"/>
      </w:pPr>
      <w:r>
        <w:rPr>
          <w:rFonts w:ascii="Times New Roman" w:hAnsi="Times New Roman"/>
          <w:i/>
          <w:sz w:val="26"/>
        </w:rPr>
        <w:t>(Ký, đóng dấu)</w:t>
      </w:r>
      <w:r>
        <w:t xml:space="preserve">            </w:t>
      </w:r>
      <w:r>
        <w:rPr>
          <w:rFonts w:ascii="Times New Roman" w:hAnsi="Times New Roman"/>
          <w:i/>
          <w:sz w:val="26"/>
        </w:rPr>
        <w:t>(Ký, đóng dấu)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