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before="200" w:after="60" w:line="259" w:lineRule="auto"/>
        <w:jc w:val="center"/>
      </w:pPr>
      <w:r>
        <w:rPr>
          <w:rFonts w:ascii="Arial" w:hAnsi="Arial"/>
          <w:b/>
          <w:i w:val="0"/>
          <w:color w:val="1F4E78"/>
          <w:sz w:val="33"/>
        </w:rPr>
        <w:t>PAUTA DE EVALUACIÓN Y JUSTIFICACIÓN</w:t>
      </w:r>
    </w:p>
    <w:p>
      <w:pPr>
        <w:keepNext/>
        <w:keepLines/>
        <w:spacing w:before="0" w:after="180" w:line="259" w:lineRule="auto"/>
        <w:jc w:val="center"/>
      </w:pPr>
      <w:r>
        <w:rPr>
          <w:rFonts w:ascii="Arial" w:hAnsi="Arial"/>
          <w:b/>
          <w:i w:val="0"/>
          <w:color w:val="1F1F1F"/>
          <w:sz w:val="23"/>
        </w:rPr>
        <w:t>Evaluación N.º 1 — Fundamentos de Java moderno</w:t>
      </w:r>
    </w:p>
    <w:p>
      <w:pPr>
        <w:keepLines w:val="0"/>
        <w:spacing w:before="0" w:after="160" w:line="259" w:lineRule="auto"/>
        <w:jc w:val="center"/>
      </w:pPr>
      <w:r>
        <w:rPr>
          <w:rFonts w:ascii="Arial" w:hAnsi="Arial"/>
          <w:b/>
          <w:i w:val="0"/>
          <w:color w:val="9C0006"/>
          <w:sz w:val="19"/>
        </w:rPr>
        <w:t>USO DOCENTE / REVISOR — NO DISTRIBUIR A ESTUDIANTES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9EADBA"/>
          <w:left w:val="single" w:sz="5" w:space="0" w:color="9EADBA"/>
          <w:bottom w:val="single" w:sz="5" w:space="0" w:color="9EADBA"/>
          <w:right w:val="single" w:sz="5" w:space="0" w:color="9EADBA"/>
          <w:insideH w:val="single" w:sz="5" w:space="0" w:color="9EADBA"/>
          <w:insideV w:val="single" w:sz="5" w:space="0" w:color="9EADBA"/>
        </w:tblBorders>
      </w:tblPr>
      <w:tblGrid>
        <w:gridCol w:w="2450"/>
        <w:gridCol w:w="6910"/>
      </w:tblGrid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CURSO: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III CRIM — Mención Comunicaciones e Informática</w:t>
            </w:r>
          </w:p>
        </w:tc>
      </w:tr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UNIDAD DE APRENDIZAJE: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N.º 8 — Desarrollo de aplicaciones (76 horas)</w:t>
            </w:r>
          </w:p>
        </w:tc>
      </w:tr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INSTRUMENTO: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Prueba práctica individual con producto de software, pruebas y defensa breve</w:t>
            </w:r>
          </w:p>
        </w:tc>
      </w:tr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PONDERACIÓN / DURACIÓN: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20% / 135 minutos</w:t>
            </w:r>
          </w:p>
        </w:tc>
      </w:tr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PUNTAJE / EXIGENCIA: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100 puntos / 60% para nota 4,0</w:t>
            </w:r>
          </w:p>
        </w:tc>
      </w:tr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ALCANCE: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Clases 1 a 4 inclusive; no incluye Spring, persistencia, seguridad web, Temporal ni mensajería.</w:t>
            </w:r>
          </w:p>
        </w:tc>
      </w:tr>
      <w:tr>
        <w:trPr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F4E78"/>
                <w:sz w:val="17"/>
              </w:rPr>
              <w:t>EVIDENCIAS: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Código, pruebas, ejecución Maven, reporte UTF-8, commits, PROMPTS.md y defensa de 3–5 minutos.</w:t>
            </w:r>
          </w:p>
        </w:tc>
      </w:tr>
    </w:tbl>
    <w:p>
      <w:pPr>
        <w:keepLines w:val="0"/>
        <w:spacing w:before="0" w:after="6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5B9BD5"/>
          <w:left w:val="single" w:sz="6" w:space="0" w:color="5B9BD5"/>
          <w:bottom w:val="single" w:sz="6" w:space="0" w:color="5B9BD5"/>
          <w:right w:val="single" w:sz="6" w:space="0" w:color="5B9BD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40" w:line="250" w:lineRule="auto"/>
            </w:pPr>
            <w:r/>
            <w:r>
              <w:rPr>
                <w:rFonts w:ascii="Arial" w:hAnsi="Arial"/>
                <w:b/>
                <w:i w:val="0"/>
                <w:color w:val="1F4E78"/>
                <w:sz w:val="19"/>
              </w:rPr>
              <w:t>Decisión de diseño</w:t>
            </w:r>
          </w:p>
          <w:p>
            <w:pPr>
              <w:keepLines w:val="0"/>
              <w:spacing w:before="0" w:after="0" w:line="254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La instancia oficial permite pruebas de resolución de problemas, trabajos aplicados, talleres o laboratorios. Se elige un problema integrado de SIGEO porque recoge desempeño observable y reduce la memorización. La ayuda de IA se permite con trazabilidad y defensa, conforme a la metodología del curso.</w:t>
            </w:r>
          </w:p>
        </w:tc>
      </w:tr>
    </w:tbl>
    <w:p>
      <w:pPr>
        <w:keepLines w:val="0"/>
        <w:spacing w:before="0" w:after="4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p>
      <w:pPr>
        <w:pStyle w:val="Heading1"/>
        <w:keepNext/>
        <w:keepLines/>
      </w:pPr>
      <w:r>
        <w:rPr>
          <w:rFonts w:ascii="Arial" w:hAnsi="Arial"/>
          <w:b/>
          <w:i w:val="0"/>
          <w:color w:val="1F4E78"/>
          <w:sz w:val="28"/>
        </w:rPr>
        <w:t>1. Propósito y justificación pedagógica</w:t>
      </w:r>
    </w:p>
    <w:p>
      <w:pPr>
        <w:keepLines w:val="0"/>
        <w:spacing w:before="0" w:after="100" w:line="259" w:lineRule="auto"/>
        <w:jc w:val="left"/>
      </w:pPr>
      <w:r>
        <w:rPr>
          <w:rFonts w:ascii="Arial" w:hAnsi="Arial"/>
          <w:b w:val="0"/>
          <w:i w:val="0"/>
          <w:color w:val="1F1F1F"/>
          <w:sz w:val="21"/>
        </w:rPr>
        <w:t>La prueba determina si un estudiante inicial puede transformar un enunciado acotado en una solución Java reproducible. El caso exige aplicar, no recitar: modelar datos, mantener invariantes, operar una colección, manejar fallos previsibles, persistir un reporte simple y verificar el resultado con JUnit.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Validez de contenido: cada evidencia corresponde a objetivos trabajados en las clases 1–4 y a contenidos de la unidad oficial.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Autenticidad: el contexto SIGEO vincula la actividad con una necesidad institucional básica sin exigir conocimientos de capas web aún no enseñados.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Equidad: se entregan firmas, datos de aceptación, tiempo sugerido y prompts guía; no se evalúa recordar sintaxis exacta sin apoyo.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Confiabilidad: la corrección combina pruebas ejecutables, pauta analítica, revisión del producto y defensa breve.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Comprensión: la IA es una tecnología de apoyo; PROMPTS.md, el diff y la modificación en vivo permiten distinguir asistencia de dependencia.</w:t>
      </w:r>
    </w:p>
    <w:p>
      <w:pPr>
        <w:pStyle w:val="Heading1"/>
        <w:keepNext/>
        <w:keepLines/>
      </w:pPr>
      <w:r>
        <w:rPr>
          <w:rFonts w:ascii="Arial" w:hAnsi="Arial"/>
          <w:b/>
          <w:i w:val="0"/>
          <w:color w:val="1F4E78"/>
          <w:sz w:val="28"/>
        </w:rPr>
        <w:t>2. Alineación con los documentos base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050"/>
        <w:gridCol w:w="3530"/>
        <w:gridCol w:w="3780"/>
      </w:tblGrid>
      <w:tr>
        <w:trPr>
          <w:tblHeader w:val="true"/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Documento</w:t>
            </w:r>
          </w:p>
        </w:tc>
        <w:tc>
          <w:tcPr>
            <w:tcW w:type="dxa" w:w="35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Lineamiento relevante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Aplicación en la prueba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Programa IIICOM UA 2026</w:t>
            </w:r>
          </w:p>
        </w:tc>
        <w:tc>
          <w:tcPr>
            <w:tcW w:type="dxa" w:w="35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Primera instancia sumativa de 20%; admite resolución de problemas, trabajos aplicados, talleres y laboratorios.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Prueba práctica individual de 20%, basada en un problema aplicado.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Programa IIICOM UA 2026</w:t>
            </w:r>
          </w:p>
        </w:tc>
        <w:tc>
          <w:tcPr>
            <w:tcW w:type="dxa" w:w="35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Contenidos iniciales: principios Java, clases/objetos, excepciones, depuración/pruebas, JavaDoc, colecciones y E/S.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Los seis indicadores se limitan a ese tramo formativo.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README clases 1–4</w:t>
            </w:r>
          </w:p>
        </w:tc>
        <w:tc>
          <w:tcPr>
            <w:tcW w:type="dxa" w:w="35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SIGEO, records/enums, invariantes, excepciones, List/Map/Streams, E/S y JUnit.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Un único gestor reúne esos fundamentos con una dificultad inicial.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docs/RUBRICAS.md</w:t>
            </w:r>
          </w:p>
        </w:tc>
        <w:tc>
          <w:tcPr>
            <w:tcW w:type="dxa" w:w="35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Funcionalidad, diseño/POO, calidad, errores y comprensión; escala 1–7 con exigencia institucional.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Pauta analítica de 100 puntos y descriptores de logro.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docs/GUIA_IA.md / AGENTS.md</w:t>
            </w:r>
          </w:p>
        </w:tc>
        <w:tc>
          <w:tcPr>
            <w:tcW w:type="dxa" w:w="35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Planificar, trabajar por incrementos, probar, revisar diff y explicar el código.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PROMPTS.md, commits, tests y defensa breve.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Modelos de evaluación adjuntos</w:t>
            </w:r>
          </w:p>
        </w:tc>
        <w:tc>
          <w:tcPr>
            <w:tcW w:type="dxa" w:w="35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Portada institucional, condiciones claras, puntaje por pregunta y tabla de indicadores.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Mismos campos y trazabilidad entre prueba, pauta y matriz.</w:t>
            </w:r>
          </w:p>
        </w:tc>
      </w:tr>
    </w:tbl>
    <w:p>
      <w:pPr>
        <w:keepLines w:val="0"/>
        <w:spacing w:before="0" w:after="6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p>
      <w:pPr>
        <w:pStyle w:val="Heading1"/>
        <w:keepNext/>
        <w:keepLines/>
      </w:pPr>
      <w:r>
        <w:rPr>
          <w:rFonts w:ascii="Arial" w:hAnsi="Arial"/>
          <w:b/>
          <w:i w:val="0"/>
          <w:color w:val="1F4E78"/>
          <w:sz w:val="28"/>
        </w:rPr>
        <w:t>3. Solución de referencia: estructura y comportamiento</w:t>
      </w:r>
    </w:p>
    <w:p>
      <w:pPr>
        <w:keepLines w:val="0"/>
        <w:spacing w:before="0" w:after="100" w:line="259" w:lineRule="auto"/>
        <w:jc w:val="left"/>
      </w:pPr>
      <w:r>
        <w:rPr>
          <w:rFonts w:ascii="Arial" w:hAnsi="Arial"/>
          <w:b w:val="0"/>
          <w:i w:val="0"/>
          <w:color w:val="1F1F1F"/>
          <w:sz w:val="21"/>
        </w:rPr>
        <w:t>Se acepta cualquier solución equivalente que respete el contrato y sea explicable. No se exige una implementación idéntica a esta pauta.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00"/>
        <w:gridCol w:w="4000"/>
        <w:gridCol w:w="31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Componente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Responsabilidad esperada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Señales de logro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Prioridad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Enum con BAJA, MEDIA, ALTA y CRITICA; cada constante conoce sus horas de atención.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Sin switch externo duplicado; método horasAtencion() devuelve 72/48/24/4.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Solicitud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Record inmutable con id, solicitante, descripción y prioridad; constructor compacto valida invariantes.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Mensajes identifican el campo; no hay setters; prioridad no nula.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SolicitudDuplicadaException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Excepción de dominio no comprobada para id repetido.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Extiende RuntimeException y conserva un mensaje con el id.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GestorSolicitudes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Encapsula List; registra, busca, filtra, agrupa/contabiliza y exporta.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No expone estado mutable; resultados correctos con lista vacía y datos repetidos.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App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Demuestra el caso, captura errores comunicables y no oculta IOException.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Sin catch vacío, System.exit arbitrario ni printStackTrace final.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Pruebas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JUnit 5/AssertJ; casos felices, bordes y archivo temporal.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Al menos siete pruebas independientes y repetibles.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PROMPTS.md / README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Registra uso crítico de IA, comandos y decisión del alumno.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Incluye plan, prompts, revisión, resultado final y commit.</w:t>
            </w:r>
          </w:p>
        </w:tc>
      </w:tr>
    </w:tbl>
    <w:p>
      <w:pPr>
        <w:keepLines w:val="0"/>
        <w:spacing w:before="0" w:after="6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p>
      <w:pPr>
        <w:pStyle w:val="Heading1"/>
        <w:keepNext/>
        <w:keepLines/>
      </w:pPr>
      <w:r>
        <w:rPr>
          <w:rFonts w:ascii="Arial" w:hAnsi="Arial"/>
          <w:b/>
          <w:i w:val="0"/>
          <w:color w:val="1F4E78"/>
          <w:sz w:val="28"/>
        </w:rPr>
        <w:t>4. Algoritmos esperados, explicados</w:t>
      </w:r>
    </w:p>
    <w:p>
      <w:pPr>
        <w:pStyle w:val="Heading2"/>
        <w:keepNext/>
        <w:keepLines/>
      </w:pPr>
      <w:r>
        <w:rPr>
          <w:rFonts w:ascii="Arial" w:hAnsi="Arial"/>
          <w:b/>
          <w:i w:val="0"/>
          <w:color w:val="1F4E78"/>
          <w:sz w:val="24"/>
        </w:rPr>
        <w:t>4.1 Registrar</w:t>
      </w:r>
    </w:p>
    <w:p>
      <w:pPr>
        <w:keepLines w:val="0"/>
        <w:spacing w:before="0" w:after="100" w:line="259" w:lineRule="auto"/>
        <w:jc w:val="left"/>
      </w:pPr>
      <w:r>
        <w:rPr>
          <w:rFonts w:ascii="Arial" w:hAnsi="Arial"/>
          <w:b w:val="0"/>
          <w:i w:val="0"/>
          <w:color w:val="1F1F1F"/>
          <w:sz w:val="21"/>
        </w:rPr>
        <w:t>Validar que la referencia no sea nula; comprobar si algún elemento posee el mismo id; si existe, lanzar SolicitudDuplicadaException; de lo contrario, agregar a la colección. El alumno puede usar un bucle, anyMatch o un Map por id. La decisión debe ser coherente.</w:t>
      </w:r>
    </w:p>
    <w:p>
      <w:pPr>
        <w:keepNext/>
        <w:keepLines/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i w:val="0"/>
          <w:color w:val="1F1F1F"/>
          <w:sz w:val="16"/>
        </w:rPr>
        <w:t>si solicitud es nula -&gt; error de argumento</w:t>
      </w:r>
    </w:p>
    <w:p>
      <w:pPr>
        <w:keepNext/>
        <w:keepLines/>
        <w:spacing w:before="0" w:after="0" w:line="240" w:lineRule="auto"/>
        <w:ind w:left="259" w:right="259"/>
        <w:shd w:fill="F3F4F6"/>
      </w:pPr>
      <w:r>
        <w:rPr>
          <w:rFonts w:ascii="Consolas" w:hAnsi="Consolas"/>
          <w:b w:val="0"/>
          <w:i w:val="0"/>
          <w:color w:val="1F1F1F"/>
          <w:sz w:val="16"/>
        </w:rPr>
        <w:t>si alguna solicitud existente tiene el mismo id -&gt; SolicitudDuplicadaException</w:t>
      </w:r>
    </w:p>
    <w:p>
      <w:pPr>
        <w:keepNext w:val="0"/>
        <w:keepLines/>
        <w:spacing w:before="0" w:after="100" w:line="240" w:lineRule="auto"/>
        <w:ind w:left="259" w:right="259"/>
        <w:shd w:fill="F3F4F6"/>
      </w:pPr>
      <w:r>
        <w:rPr>
          <w:rFonts w:ascii="Consolas" w:hAnsi="Consolas"/>
          <w:b w:val="0"/>
          <w:i w:val="0"/>
          <w:color w:val="1F1F1F"/>
          <w:sz w:val="16"/>
        </w:rPr>
        <w:t>en otro caso -&gt; agregar a la colección</w:t>
      </w:r>
    </w:p>
    <w:p>
      <w:pPr>
        <w:pStyle w:val="Heading2"/>
        <w:keepNext/>
        <w:keepLines/>
      </w:pPr>
      <w:r>
        <w:rPr>
          <w:rFonts w:ascii="Arial" w:hAnsi="Arial"/>
          <w:b/>
          <w:i w:val="0"/>
          <w:color w:val="1F4E78"/>
          <w:sz w:val="24"/>
        </w:rPr>
        <w:t>4.2 Buscar y filtrar</w:t>
      </w:r>
    </w:p>
    <w:p>
      <w:pPr>
        <w:keepLines w:val="0"/>
        <w:spacing w:before="0" w:after="100" w:line="259" w:lineRule="auto"/>
        <w:jc w:val="left"/>
      </w:pPr>
      <w:r>
        <w:rPr>
          <w:rFonts w:ascii="Arial" w:hAnsi="Arial"/>
          <w:b w:val="0"/>
          <w:i w:val="0"/>
          <w:color w:val="1F1F1F"/>
          <w:sz w:val="21"/>
        </w:rPr>
        <w:t>buscarPorId localiza coincidencia exacta y, si no existe, lanza un error controlado con el id solicitado. filtrarPorPrioridad usa un Stream o bucle legible y retorna una lista nueva o inmodificable; no debe retornar la lista interna.</w:t>
      </w:r>
    </w:p>
    <w:p>
      <w:pPr>
        <w:pStyle w:val="Heading2"/>
        <w:keepNext/>
        <w:keepLines/>
      </w:pPr>
      <w:r>
        <w:rPr>
          <w:rFonts w:ascii="Arial" w:hAnsi="Arial"/>
          <w:b/>
          <w:i w:val="0"/>
          <w:color w:val="1F4E78"/>
          <w:sz w:val="24"/>
        </w:rPr>
        <w:t>4.3 Contar por prioridad</w:t>
      </w:r>
    </w:p>
    <w:p>
      <w:pPr>
        <w:keepLines w:val="0"/>
        <w:spacing w:before="0" w:after="100" w:line="259" w:lineRule="auto"/>
        <w:jc w:val="left"/>
      </w:pPr>
      <w:r>
        <w:rPr>
          <w:rFonts w:ascii="Arial" w:hAnsi="Arial"/>
          <w:b w:val="0"/>
          <w:i w:val="0"/>
          <w:color w:val="1F1F1F"/>
          <w:sz w:val="21"/>
        </w:rPr>
        <w:t>La referencia más directa usa groupingBy(Solicitud::prioridad, counting()). También se acepta inicializar un EnumMap y acumular. No se exige incluir prioridades con valor cero, porque el enunciado pide conteos observados.</w:t>
      </w:r>
    </w:p>
    <w:p>
      <w:pPr>
        <w:pStyle w:val="Heading2"/>
        <w:keepNext/>
        <w:keepLines/>
      </w:pPr>
      <w:r>
        <w:rPr>
          <w:rFonts w:ascii="Arial" w:hAnsi="Arial"/>
          <w:b/>
          <w:i w:val="0"/>
          <w:color w:val="1F4E78"/>
          <w:sz w:val="24"/>
        </w:rPr>
        <w:t>4.4 Exportar</w:t>
      </w:r>
    </w:p>
    <w:p>
      <w:pPr>
        <w:keepLines w:val="0"/>
        <w:spacing w:before="0" w:after="100" w:line="259" w:lineRule="auto"/>
        <w:jc w:val="left"/>
      </w:pPr>
      <w:r>
        <w:rPr>
          <w:rFonts w:ascii="Arial" w:hAnsi="Arial"/>
          <w:b w:val="0"/>
          <w:i w:val="0"/>
          <w:color w:val="1F1F1F"/>
          <w:sz w:val="21"/>
        </w:rPr>
        <w:t>Construir las líneas de salida, incluir un encabezado estable y escribir con Files.write(..., StandardCharsets.UTF_8). Puede propagarse IOException o envolverse en una excepción propia que preserve la causa. Se rechaza ocultarla con catch vacío o limitarse a imprimir stack trace.</w:t>
      </w:r>
    </w:p>
    <w:p>
      <w:pPr>
        <w:pStyle w:val="Heading1"/>
        <w:keepNext/>
        <w:keepLines/>
      </w:pPr>
      <w:r>
        <w:rPr>
          <w:rFonts w:ascii="Arial" w:hAnsi="Arial"/>
          <w:b/>
          <w:i w:val="0"/>
          <w:color w:val="1F4E78"/>
          <w:sz w:val="28"/>
        </w:rPr>
        <w:t>5. Pauta analítica de corrección — 100 puntos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850"/>
        <w:gridCol w:w="2200"/>
        <w:gridCol w:w="750"/>
        <w:gridCol w:w="5560"/>
      </w:tblGrid>
      <w:tr>
        <w:trPr>
          <w:tblHeader w:val="true"/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Sec.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Criterio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Pts.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Desglose verificable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5"/>
              </w:rPr>
              <w:t>1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Entorno y trazabilidad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5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2: compila y Maven Wrapper ejecuta. 1: estructura/paquete correctos. 2: rama y ≥2 commits comprensibles.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5"/>
              </w:rPr>
              <w:t>2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Modelo de dominio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20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6: enum y horas. 4: record/campos. 8: invariantes completas. 2: nombres/encapsulación.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5"/>
              </w:rPr>
              <w:t>3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Gestor en memoria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30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4: colección encapsulada. 8: registrar/duplicado. 6: buscar. 6: filtrar. 6: contar.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5"/>
              </w:rPr>
              <w:t>4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Errores y E/S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15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4: excepción propia. 4: manejo de errores en App. 5: reporte correcto. 2: UTF-8 y causa no perdida.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5"/>
              </w:rPr>
              <w:t>5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Pruebas y verificación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20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14: siete comportamientos (2 c/u). 4: aserciones/bordes/independencia. 2: suite final aprobada.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5"/>
              </w:rPr>
              <w:t>6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IA, revisión y defensa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10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4: PROMPTS.md. 2: decisión crítica y diff. 4: explicación y cambio breve en vivo.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5"/>
              </w:rPr>
              <w:t>TOTAL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100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La evidencia debe ser observable. No otorgar puntaje solo por intención declarada.</w:t>
            </w:r>
          </w:p>
        </w:tc>
      </w:tr>
    </w:tbl>
    <w:p>
      <w:pPr>
        <w:keepLines w:val="0"/>
        <w:spacing w:before="0" w:after="6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p>
      <w:pPr>
        <w:pStyle w:val="Heading1"/>
        <w:keepNext/>
        <w:keepLines/>
      </w:pPr>
      <w:r>
        <w:rPr>
          <w:rFonts w:ascii="Arial" w:hAnsi="Arial"/>
          <w:b/>
          <w:i w:val="0"/>
          <w:color w:val="1F4E78"/>
          <w:sz w:val="28"/>
        </w:rPr>
        <w:t>6. Descriptores de logro para moderación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300"/>
        <w:gridCol w:w="2050"/>
        <w:gridCol w:w="2050"/>
        <w:gridCol w:w="2050"/>
        <w:gridCol w:w="1910"/>
      </w:tblGrid>
      <w:tr>
        <w:trPr>
          <w:tblHeader w:val="true"/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6E6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4"/>
              </w:rPr>
              <w:t>Indicador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6E6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4"/>
              </w:rPr>
              <w:t>Insuficiente (1–3)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6E6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4"/>
              </w:rPr>
              <w:t>Suficiente (4–5)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6E6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4"/>
              </w:rPr>
              <w:t>Bueno (6)</w:t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6E6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1F1F"/>
                <w:sz w:val="14"/>
              </w:rPr>
              <w:t>Excelente (7)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Entorno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No construye ni identifica causa.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Construye con ayuda; evidencia incompleta.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Construye y entrega reproduciblemente.</w:t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Además deja commits y documentación impecables.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Modelo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Campos/reglas ausentes o mutabilidad impropia.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Modelo usable con una validación débil.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Record/enum e invariantes correctas.</w:t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Diseño claro, mensajes precisos y decisiones justificadas.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Gestor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Operaciones ausentes o resultados incorrectos.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Registra y consulta casos básicos.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Todas las operaciones correctas y encapsuladas.</w:t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Alternativa eficiente/legible y casos borde bien resueltos.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Errores/E/S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Oculta errores o no genera archivo.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Manejo básico y archivo parcial.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Errores útiles y exportación UTF-8 correcta.</w:t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Causa preservada, API limpia y salida bien documentada.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Pruebas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Sin pruebas útiles o suite manipulada.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Casos felices; cobertura limitada.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Siete casos relevantes y suite aprobada.</w:t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Pruebas de bordes, claras, independientes y diagnósticas.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IA/defensa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Sin evidencia o no explica el código.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Describe el flujo general con vacíos.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Evidencia decisiones y explica componentes.</w:t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4"/>
              </w:rPr>
              <w:t>Cuestiona sugerencias, justifica alternativas y modifica con seguridad.</w:t>
            </w:r>
          </w:p>
        </w:tc>
      </w:tr>
    </w:tbl>
    <w:p>
      <w:pPr>
        <w:keepLines w:val="0"/>
        <w:spacing w:before="0" w:after="6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p>
      <w:pPr>
        <w:pStyle w:val="Heading1"/>
        <w:keepNext/>
        <w:keepLines/>
      </w:pPr>
      <w:r>
        <w:rPr>
          <w:rFonts w:ascii="Arial" w:hAnsi="Arial"/>
          <w:b/>
          <w:i w:val="0"/>
          <w:color w:val="1F4E78"/>
          <w:sz w:val="28"/>
        </w:rPr>
        <w:t>7. Protocolo de corrección</w:t>
      </w:r>
    </w:p>
    <w:p>
      <w:pPr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Registrar commit evaluado y ejecutar ./mvnw -q test en un entorno limpio.</w:t>
      </w:r>
    </w:p>
    <w:p>
      <w:pPr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Revisar git diff, dependencias, paquetes y que no se hayan alterado pruebas entregadas para forzar aprobación.</w:t>
      </w:r>
    </w:p>
    <w:p>
      <w:pPr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Comprobar manualmente los datos de aceptación: tres altas, búsqueda, duplicado, filtro, conteo y reporte.</w:t>
      </w:r>
    </w:p>
    <w:p>
      <w:pPr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Asignar puntos por subcriterio usando evidencia. Anotar la ubicación del código o test que justifica el puntaje.</w:t>
      </w:r>
    </w:p>
    <w:p>
      <w:pPr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Revisar PROMPTS.md: el valor está en la decisión, validación y corrección del alumno, no en la extensión del registro.</w:t>
      </w:r>
    </w:p>
    <w:p>
      <w:pPr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Realizar defensa de 3–5 minutos y registrar una observación breve.</w:t>
      </w:r>
    </w:p>
    <w:p>
      <w:pPr>
        <w:keepLines w:val="0"/>
        <w:numPr>
          <w:ilvl w:val="0"/>
          <w:numId w:val="10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Convertir puntaje a nota con la tabla oficial del PIE vigente (60% de exigencia).</w:t>
      </w:r>
    </w:p>
    <w:p>
      <w:pPr>
        <w:pStyle w:val="Heading1"/>
        <w:keepNext/>
        <w:keepLines/>
      </w:pPr>
      <w:r>
        <w:rPr>
          <w:rFonts w:ascii="Arial" w:hAnsi="Arial"/>
          <w:b/>
          <w:i w:val="0"/>
          <w:color w:val="1F4E78"/>
          <w:sz w:val="28"/>
        </w:rPr>
        <w:t>8. Reglas de puntaje parcial y casos especiales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Proyecto que no compila: descontar los subpuntos de construcción y ejecución, pero revisar el código para otorgar evidencia independiente de modelo, errores o documentación. No aplicar cero automático.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Implementación alternativa: aceptar Map, bucles o Streams si el contrato, resultados, claridad y defensa son equivalentes.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Pruebas modificadas para ocultar un defecto: no otorgar puntos por la conducta afectada ni por esa prueba; conservar puntaje de evidencia no relacionada.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Uso de IA sin comprensión: asignar 0 en la defensa. Si el funcionamiento no puede verificarse por pruebas o ejecución, no inferir dominio solo por código aparentemente sofisticado.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Fallo de infraestructura institucional: documentar la incidencia, trasladar la ejecución a un equipo verificado y evaluar el mismo commit; no premiar ni penalizar cambios posteriores.</w:t>
      </w:r>
    </w:p>
    <w:p>
      <w:pPr>
        <w:keepLines w:val="0"/>
        <w:numPr>
          <w:ilvl w:val="0"/>
          <w:numId w:val="11"/>
        </w:numPr>
        <w:spacing w:before="0" w:after="60" w:line="259" w:lineRule="auto"/>
      </w:pPr>
      <w:r>
        <w:rPr>
          <w:rFonts w:ascii="Arial" w:hAnsi="Arial"/>
          <w:b w:val="0"/>
          <w:i w:val="0"/>
          <w:color w:val="1F1F1F"/>
          <w:sz w:val="21"/>
        </w:rPr>
        <w:t>Errores menores de formato del reporte: descontar solo dentro de los 5 puntos de reporte, salvo que impidan leer o verificar datos.</w:t>
      </w:r>
    </w:p>
    <w:p>
      <w:pPr>
        <w:pStyle w:val="Heading1"/>
        <w:keepNext/>
        <w:keepLines/>
      </w:pPr>
      <w:r>
        <w:rPr>
          <w:rFonts w:ascii="Arial" w:hAnsi="Arial"/>
          <w:b/>
          <w:i w:val="0"/>
          <w:color w:val="1F4E78"/>
          <w:sz w:val="28"/>
        </w:rPr>
        <w:t>9. Guion de defensa breve</w:t>
      </w:r>
    </w:p>
    <w:p>
      <w:pPr>
        <w:keepLines w:val="0"/>
        <w:spacing w:before="0" w:after="100" w:line="259" w:lineRule="auto"/>
        <w:jc w:val="left"/>
      </w:pPr>
      <w:r>
        <w:rPr>
          <w:rFonts w:ascii="Arial" w:hAnsi="Arial"/>
          <w:b w:val="0"/>
          <w:i w:val="0"/>
          <w:color w:val="1F1F1F"/>
          <w:sz w:val="21"/>
        </w:rPr>
        <w:t>Seleccionar dos preguntas y una microtarea. No convertir la defensa en una segunda prueba completa.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500"/>
        <w:gridCol w:w="3860"/>
        <w:gridCol w:w="4000"/>
      </w:tblGrid>
      <w:tr>
        <w:trPr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Tipo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Pregunta o acción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5"/>
              </w:rPr>
              <w:t>Evidencia esperada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Comprensión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¿Por qué la validación está en el constructor compacto?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Relaciona invariante e imposibilidad de crear objetos inválidos.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Colecciones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¿Por qué retorna una lista nueva al filtrar?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Menciona encapsulación y evitar modificación externa.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Streams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Explique cada etapa de contarPorPrioridad.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Identifica fuente, agrupación, clave y counting.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Errores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¿Qué información debe conservar una excepción?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Mensaje contextual y causa cuando existe.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Pruebas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¿Qué defecto detecta la prueba de duplicados?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Relaciona entrada, excepción y estado del gestor.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Microtarea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Cambie el mensaje de búsqueda o agregue un caso de lista vacía.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5"/>
              </w:rPr>
              <w:t>Modificación mínima, test y explicación.</w:t>
            </w:r>
          </w:p>
        </w:tc>
      </w:tr>
    </w:tbl>
    <w:p>
      <w:pPr>
        <w:keepLines w:val="0"/>
        <w:spacing w:before="0" w:after="6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p>
      <w:pPr>
        <w:pStyle w:val="Heading1"/>
        <w:keepNext/>
        <w:keepLines/>
      </w:pPr>
      <w:r>
        <w:rPr>
          <w:rFonts w:ascii="Arial" w:hAnsi="Arial"/>
          <w:b/>
          <w:i w:val="0"/>
          <w:color w:val="1F4E78"/>
          <w:sz w:val="28"/>
        </w:rPr>
        <w:t>10. Errores frecuentes y retroalimentación sugerida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6"/>
              </w:rPr>
              <w:t>Hallazgo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6"/>
              </w:rPr>
              <w:t>Retroalimentación breve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Validación solo en App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Mueva la regla al modelo para que ninguna ruta pueda crear una solicitud inválida.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Retorna la lista interna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Proteja el estado: devuelva una copia o el resultado de toList().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catch (Exception) genérico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Capture únicamente el error que puede manejar y conserve el contexto.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printStackTrace final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Transforme el fallo en un mensaje útil o propáguelo a quien pueda decidir.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Test sin aserción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Una ejecución sin excepción no demuestra el resultado esperado; formule una afirmación observable.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PROMPTS.md como copia literal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Agregue qué verificó, qué cambió y por qué aceptó o rechazó la sugerencia.</w:t>
            </w:r>
          </w:p>
        </w:tc>
      </w:tr>
    </w:tbl>
    <w:p>
      <w:pPr>
        <w:keepLines w:val="0"/>
        <w:spacing w:before="0" w:after="6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p>
      <w:pPr>
        <w:pStyle w:val="Heading1"/>
        <w:keepNext/>
        <w:keepLines/>
      </w:pPr>
      <w:r>
        <w:rPr>
          <w:rFonts w:ascii="Arial" w:hAnsi="Arial"/>
          <w:b/>
          <w:i w:val="0"/>
          <w:color w:val="1F4E78"/>
          <w:sz w:val="28"/>
        </w:rPr>
        <w:t>11. Registro de corrección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300"/>
        <w:gridCol w:w="1700"/>
        <w:gridCol w:w="4360"/>
      </w:tblGrid>
      <w:tr>
        <w:trPr>
          <w:tblHeader w:val="true"/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6"/>
              </w:rPr>
              <w:t>Indicador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6"/>
              </w:rPr>
              <w:t>Puntaje obtenido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6"/>
              </w:rPr>
              <w:t>Evidencia / observación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IE1 Entorno y trazabilidad (5)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IE2 Modelo de dominio (20)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IE3 Gestor en memoria (30)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IE4 Errores y E/S (15)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IE5 Pruebas y verificación (20)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IE6 IA, revisión y defensa (10)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TOTAL (100)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</w:r>
          </w:p>
        </w:tc>
      </w:tr>
    </w:tbl>
    <w:p>
      <w:pPr>
        <w:keepLines w:val="0"/>
        <w:spacing w:before="0" w:after="6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2600"/>
        <w:gridCol w:w="1900"/>
        <w:gridCol w:w="1860"/>
      </w:tblGrid>
      <w:tr>
        <w:trPr>
          <w:tblHeader w:val="true"/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6"/>
              </w:rPr>
              <w:t>Nombre del alumno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6"/>
              </w:rPr>
              <w:t>Evaluador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6"/>
              </w:rPr>
              <w:t>Fecha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 w:val="clea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F4E78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</w:r>
          </w:p>
        </w:tc>
      </w:tr>
    </w:tbl>
    <w:p>
      <w:pPr>
        <w:keepLines w:val="0"/>
        <w:spacing w:before="0" w:after="60" w:line="259" w:lineRule="auto"/>
        <w:jc w:val="left"/>
      </w:pPr>
      <w:r>
        <w:rPr>
          <w:rFonts w:ascii="Arial" w:hAnsi="Arial"/>
          <w:b w:val="0"/>
          <w:i w:val="0"/>
          <w:color w:val="1F1F1F"/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03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spacing w:before="0" w:after="0" w:line="240" w:lineRule="auto"/>
      <w:jc w:val="center"/>
    </w:pPr>
    <w:r>
      <w:rPr>
        <w:rFonts w:ascii="Arial" w:hAnsi="Arial"/>
        <w:b w:val="0"/>
        <w:i w:val="0"/>
        <w:color w:val="7F8C8D"/>
        <w:sz w:val="16"/>
      </w:rPr>
      <w:t xml:space="preserve">Desarrollo de aplicaciones  |  </w:t>
    </w:r>
    <w:fldSimple w:instr="PAGE">
      <w:r>
        <w:rPr>
          <w:rFonts w:ascii="Arial" w:hAnsi="Arial"/>
          <w:color w:val="7F8C8D"/>
          <w:sz w:val="17"/>
          <w:szCs w:val="17"/>
        </w:rPr>
        <w:t>1</w:t>
      </w:r>
    </w:fldSimple>
    <w:r>
      <w:rPr>
        <w:rFonts w:ascii="Arial" w:hAnsi="Arial"/>
        <w:b w:val="0"/>
        <w:i w:val="0"/>
        <w:color w:val="7F8C8D"/>
        <w:sz w:val="16"/>
      </w:rPr>
      <w:t xml:space="preserve"> de </w:t>
    </w:r>
    <w:fldSimple w:instr="NUMPAGES">
      <w:r>
        <w:rPr>
          <w:rFonts w:ascii="Arial" w:hAnsi="Arial"/>
          <w:color w:val="7F8C8D"/>
          <w:sz w:val="17"/>
          <w:szCs w:val="17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 w:val="0"/>
      <w:tabs>
        <w:tab w:pos="10080" w:val="right"/>
      </w:tabs>
      <w:spacing w:before="0" w:after="0" w:line="240" w:lineRule="auto"/>
    </w:pPr>
    <w:r/>
    <w:r>
      <w:rPr>
        <w:rFonts w:ascii="Arial" w:hAnsi="Arial"/>
        <w:b/>
        <w:i w:val="0"/>
        <w:color w:val="1F1F1F"/>
        <w:sz w:val="14"/>
      </w:rPr>
      <w:t>EJÉRCITO DE CHILE</w:t>
    </w:r>
    <w:r>
      <w:rPr>
        <w:rFonts w:ascii="Arial" w:hAnsi="Arial"/>
        <w:b/>
        <w:i w:val="0"/>
        <w:color w:val="7F8C8D"/>
        <w:sz w:val="14"/>
      </w:rPr>
      <w:tab/>
      <w:t>PAUTA DOCENTE — EVALUACIÓN N.º 1</w:t>
    </w:r>
    <w:r>
      <w:rPr>
        <w:rFonts w:ascii="Arial" w:hAnsi="Arial"/>
        <w:b w:val="0"/>
        <w:i w:val="0"/>
        <w:color w:val="1F1F1F"/>
        <w:sz w:val="14"/>
      </w:rPr>
      <w:br/>
      <w:t>ESCUELA DE TELECOMUNICACIONES · III CRIM</w:t>
    </w:r>
    <w:r>
      <w:rPr>
        <w:rFonts w:ascii="Arial" w:hAnsi="Arial"/>
        <w:b w:val="0"/>
        <w:i w:val="0"/>
        <w:color w:val="7F8C8D"/>
        <w:sz w:val="14"/>
      </w:rPr>
      <w:tab/>
      <w:t>EJEMPLAR N.º ____ / HOJA N.º 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