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before="200" w:after="60" w:line="259" w:lineRule="auto"/>
        <w:jc w:val="center"/>
      </w:pPr>
      <w:r>
        <w:rPr>
          <w:rFonts w:ascii="Arial" w:hAnsi="Arial"/>
          <w:b/>
          <w:i w:val="0"/>
          <w:color w:val="1F4E78"/>
          <w:sz w:val="33"/>
        </w:rPr>
        <w:t>MATRIZ DE EVALUACIÓN PARA REVISIÓN</w:t>
      </w:r>
    </w:p>
    <w:p>
      <w:pPr>
        <w:keepNext/>
        <w:keepLines/>
        <w:spacing w:before="0" w:after="180" w:line="259" w:lineRule="auto"/>
        <w:jc w:val="center"/>
      </w:pPr>
      <w:r>
        <w:rPr>
          <w:rFonts w:ascii="Arial" w:hAnsi="Arial"/>
          <w:b/>
          <w:i w:val="0"/>
          <w:color w:val="1F1F1F"/>
          <w:sz w:val="23"/>
        </w:rPr>
        <w:t>Evaluación N.º 1 — Prueba práctica de fundamentos Java</w:t>
      </w:r>
    </w:p>
    <w:p>
      <w:pPr>
        <w:keepLines w:val="0"/>
        <w:spacing w:before="0" w:after="160" w:line="259" w:lineRule="auto"/>
        <w:jc w:val="center"/>
      </w:pPr>
      <w:r>
        <w:rPr>
          <w:rFonts w:ascii="Arial" w:hAnsi="Arial"/>
          <w:b/>
          <w:i w:val="0"/>
          <w:color w:val="9C0006"/>
          <w:sz w:val="19"/>
        </w:rPr>
        <w:t>USO DOCENTE / REVISOR — NO DISTRIBUIR A ESTUDIANTES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9EADBA"/>
          <w:left w:val="single" w:sz="5" w:space="0" w:color="9EADBA"/>
          <w:bottom w:val="single" w:sz="5" w:space="0" w:color="9EADBA"/>
          <w:right w:val="single" w:sz="5" w:space="0" w:color="9EADBA"/>
          <w:insideH w:val="single" w:sz="5" w:space="0" w:color="9EADBA"/>
          <w:insideV w:val="single" w:sz="5" w:space="0" w:color="9EADBA"/>
        </w:tblBorders>
      </w:tblPr>
      <w:tblGrid>
        <w:gridCol w:w="2550"/>
        <w:gridCol w:w="7530"/>
      </w:tblGrid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CURSO / MENCIÓN:</w:t>
            </w:r>
          </w:p>
        </w:tc>
        <w:tc>
          <w:tcPr>
            <w:tcW w:type="dxa" w:w="7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III CRIM — Comunicaciones e Informática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UNIDAD DE APRENDIZAJE:</w:t>
            </w:r>
          </w:p>
        </w:tc>
        <w:tc>
          <w:tcPr>
            <w:tcW w:type="dxa" w:w="7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N.º 8 — Desarrollo de aplicaciones · 76 horas · 05 SCT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INSTANCIA:</w:t>
            </w:r>
          </w:p>
        </w:tc>
        <w:tc>
          <w:tcPr>
            <w:tcW w:type="dxa" w:w="7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Primera evaluación sumativa · 20% · individual · práctica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ALCANCE TEMPORAL:</w:t>
            </w:r>
          </w:p>
        </w:tc>
        <w:tc>
          <w:tcPr>
            <w:tcW w:type="dxa" w:w="7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Clases 1 a 4 inclusive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OBJETO DE EVALUACIÓN:</w:t>
            </w:r>
          </w:p>
        </w:tc>
        <w:tc>
          <w:tcPr>
            <w:tcW w:type="dxa" w:w="7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Gestor básico de solicitudes SIGEO en Java 25, con colecciones, errores, E/S, pruebas y evidencia de uso crítico de IA.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EXIGENCIA:</w:t>
            </w:r>
          </w:p>
        </w:tc>
        <w:tc>
          <w:tcPr>
            <w:tcW w:type="dxa" w:w="7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100 puntos; 60 puntos = nota 4,0; conversión según tabla oficial PIE vigente.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1. Aprendizaje esperado y desempeño acotado</w:t>
      </w:r>
    </w:p>
    <w:p>
      <w:pPr>
        <w:keepLines w:val="0"/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Aprendizaje esperado de la unidad: </w:t>
      </w:r>
      <w:r>
        <w:rPr>
          <w:rFonts w:ascii="Arial" w:hAnsi="Arial"/>
          <w:b w:val="0"/>
          <w:i w:val="0"/>
          <w:color w:val="1F1F1F"/>
          <w:sz w:val="21"/>
        </w:rPr>
        <w:t>aplicar tecnologías de Java y de apoyo en el desarrollo de aplicaciones vinculadas al quehacer institucional.</w:t>
      </w:r>
    </w:p>
    <w:p>
      <w:pPr>
        <w:keepLines w:val="0"/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Desempeño evaluado en esta instancia: </w:t>
      </w:r>
      <w:r>
        <w:rPr>
          <w:rFonts w:ascii="Arial" w:hAnsi="Arial"/>
          <w:b w:val="0"/>
          <w:i w:val="0"/>
          <w:color w:val="1F1F1F"/>
          <w:sz w:val="21"/>
        </w:rPr>
        <w:t>resolver individualmente un problema institucional básico mediante una aplicación Java reproducible, aplicando únicamente los fundamentos abordados en las clases 1–4 y verificando el resultado con pruebas.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5B9BD5"/>
          <w:left w:val="single" w:sz="6" w:space="0" w:color="5B9BD5"/>
          <w:bottom w:val="single" w:sz="6" w:space="0" w:color="5B9BD5"/>
          <w:right w:val="single" w:sz="6" w:space="0" w:color="5B9BD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40" w:line="250" w:lineRule="auto"/>
            </w:pPr>
            <w:r/>
            <w:r>
              <w:rPr>
                <w:rFonts w:ascii="Arial" w:hAnsi="Arial"/>
                <w:b/>
                <w:i w:val="0"/>
                <w:color w:val="1F4E78"/>
                <w:sz w:val="19"/>
              </w:rPr>
              <w:t>Criterio de recorte</w:t>
            </w:r>
          </w:p>
          <w:p>
            <w:pPr>
              <w:keepLines w:val="0"/>
              <w:spacing w:before="0" w:after="0" w:line="254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El programa de la unidad es de 76 horas, pero los estudiantes solo han cursado el primer tramo. Por validez y justicia evaluativa, esta prueba excluye contenidos posteriores aunque aparezcan en el aprendizaje esperado global.</w:t>
            </w:r>
          </w:p>
        </w:tc>
      </w:tr>
    </w:tbl>
    <w:p>
      <w:pPr>
        <w:keepLines w:val="0"/>
        <w:spacing w:before="0" w:after="4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2. Matriz de criterios, indicadores y ponderaciones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800"/>
        <w:gridCol w:w="3000"/>
        <w:gridCol w:w="750"/>
        <w:gridCol w:w="4550"/>
        <w:gridCol w:w="750"/>
        <w:gridCol w:w="2700"/>
        <w:gridCol w:w="850"/>
        <w:gridCol w:w="712"/>
      </w:tblGrid>
      <w:tr>
        <w:trPr>
          <w:tblHeader w:val="true"/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3"/>
              </w:rPr>
              <w:t>Req.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3"/>
              </w:rPr>
              <w:t>Criterio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3"/>
              </w:rPr>
              <w:t>% CE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3"/>
              </w:rPr>
              <w:t>Indicador de desempeño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3"/>
              </w:rPr>
              <w:t>% IE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3"/>
              </w:rPr>
              <w:t>Evidencia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3"/>
              </w:rPr>
              <w:t>Sección</w:t>
            </w:r>
          </w:p>
        </w:tc>
        <w:tc>
          <w:tcPr>
            <w:tcW w:type="dxa" w:w="7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3"/>
              </w:rPr>
              <w:t>Pts.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3"/>
              </w:rPr>
              <w:t>R1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CE1. Aplica fundamentos de Java para resolver un problema institucional básico.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70%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IE1. Configura y entrega una solución reproducible con Maven, estructura de paquetes y trazabilidad Git.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5%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Build, README y commits.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1</w:t>
            </w:r>
          </w:p>
        </w:tc>
        <w:tc>
          <w:tcPr>
            <w:tcW w:type="dxa" w:w="7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5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3"/>
              </w:rPr>
              <w:t>R1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CE1. Aplica fundamentos de Java para resolver un problema institucional básico.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70%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IE2. Modela datos inmutables con record/enum e impone invariantes mediante validaciones claras.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20%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Prioridad.java y Solicitud.java.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2</w:t>
            </w:r>
          </w:p>
        </w:tc>
        <w:tc>
          <w:tcPr>
            <w:tcW w:type="dxa" w:w="7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20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3"/>
              </w:rPr>
              <w:t>R1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CE1. Aplica fundamentos de Java para resolver un problema institucional básico.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70%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IE3. Implementa registro, búsqueda, filtrado y conteo usando métodos, colecciones y Streams sin exponer estado mutable.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30%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GestorSolicitudes.java y aceptación funcional.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3</w:t>
            </w:r>
          </w:p>
        </w:tc>
        <w:tc>
          <w:tcPr>
            <w:tcW w:type="dxa" w:w="7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30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3"/>
              </w:rPr>
              <w:t>R1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CE1. Aplica fundamentos de Java para resolver un problema institucional básico.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70%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IE4. Maneja entradas inválidas y fallos de E/S con excepciones contextualizadas; exporta un reporte UTF-8.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15%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Excepción, App y reporte.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4</w:t>
            </w:r>
          </w:p>
        </w:tc>
        <w:tc>
          <w:tcPr>
            <w:tcW w:type="dxa" w:w="7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15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3"/>
              </w:rPr>
              <w:t>R1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CE2. Verifica, revisa y comunica la solución con tecnologías de apoyo.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30%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IE5. Diseña y ejecuta pruebas JUnit que cubren casos felices, bordes, errores y archivo temporal.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20%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Suite JUnit y ejecución Maven.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5</w:t>
            </w:r>
          </w:p>
        </w:tc>
        <w:tc>
          <w:tcPr>
            <w:tcW w:type="dxa" w:w="7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20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3"/>
              </w:rPr>
              <w:t>R1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CE2. Verifica, revisa y comunica la solución con tecnologías de apoyo.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30%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IE6. Usa Codex/Copilot de forma trazable y crítica, revisa el diff y explica/modifica el código propio.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10%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PROMPTS.md, Git y defensa.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6</w:t>
            </w:r>
          </w:p>
        </w:tc>
        <w:tc>
          <w:tcPr>
            <w:tcW w:type="dxa" w:w="7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10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3"/>
              </w:rPr>
              <w:t>TOTAL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100%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100%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</w:r>
          </w:p>
        </w:tc>
        <w:tc>
          <w:tcPr>
            <w:tcW w:type="dxa" w:w="7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3"/>
              </w:rPr>
              <w:t>100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3. Tabla de especificaciones por contenido</w:t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200"/>
        <w:gridCol w:w="2700"/>
        <w:gridCol w:w="3100"/>
        <w:gridCol w:w="2200"/>
        <w:gridCol w:w="100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4"/>
              </w:rPr>
              <w:t>Tramo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4"/>
              </w:rPr>
              <w:t>Contenido enseñado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4"/>
              </w:rPr>
              <w:t>Desempeño solicitado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4"/>
              </w:rPr>
              <w:t>Evidencia principal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4"/>
              </w:rPr>
              <w:t>Peso dominante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Clase 1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JDK/Maven, variables, control, métodos, consola y Git.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Organiza el proyecto, separa responsabilidades, ejecuta y entrega.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Build, App, README y commits.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15%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Clase 2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Clases/objetos, records, enums, invariantes, encapsulación.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Modela solicitud y prioridad válidas.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Modelo de dominio.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20%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Clase 3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Excepciones, depuración, causa y mensajes útiles.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Evita duplicados, comunica fallos y conserva contexto.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Excepción y manejo en App.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15%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Clase 4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List/Map/Streams, E/S, JUnit/AssertJ y documentación.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Filtra, cuenta, exporta y prueba.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Gestor, reporte y suite.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40%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Transversal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Uso profesional y verificable de IA.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Planifica, revisa, prueba y defiende.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PROMPTS.md, diff y defensa.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10%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4. Distribución de demanda cognitiva</w:t>
      </w:r>
    </w:p>
    <w:tbl>
      <w:tblPr>
        <w:tblW w:type="dxa" w:w="110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00"/>
        <w:gridCol w:w="900"/>
        <w:gridCol w:w="790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Nivel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Peso</w:t>
            </w:r>
          </w:p>
        </w:tc>
        <w:tc>
          <w:tcPr>
            <w:tcW w:type="dxa" w:w="7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Manifestación observable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5"/>
              </w:rPr>
              <w:t>Comprender / reproducir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10%</w:t>
            </w:r>
          </w:p>
        </w:tc>
        <w:tc>
          <w:tcPr>
            <w:tcW w:type="dxa" w:w="7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Interpreta el contrato, estructura el proyecto y reconoce reglas/datos.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5"/>
              </w:rPr>
              <w:t>Aplicar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60%</w:t>
            </w:r>
          </w:p>
        </w:tc>
        <w:tc>
          <w:tcPr>
            <w:tcW w:type="dxa" w:w="7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Implementa modelo, operaciones, validaciones y exportación en un caso nuevo pero acotado.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5"/>
              </w:rPr>
              <w:t>Analizar / verificar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20%</w:t>
            </w:r>
          </w:p>
        </w:tc>
        <w:tc>
          <w:tcPr>
            <w:tcW w:type="dxa" w:w="7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Diseña pruebas, interpreta fallos y revisa el diff antes de aceptar cambios.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5"/>
              </w:rPr>
              <w:t>Explicar / transferir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10%</w:t>
            </w:r>
          </w:p>
        </w:tc>
        <w:tc>
          <w:tcPr>
            <w:tcW w:type="dxa" w:w="7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Justifica decisiones y realiza una modificación breve durante la defensa.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5. Justificación técnica del instrumento</w:t>
      </w:r>
    </w:p>
    <w:tbl>
      <w:tblPr>
        <w:tblW w:type="dxa" w:w="110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00"/>
        <w:gridCol w:w="910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Dimensión</w:t>
            </w:r>
          </w:p>
        </w:tc>
        <w:tc>
          <w:tcPr>
            <w:tcW w:type="dxa" w:w="9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Justificación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5"/>
              </w:rPr>
              <w:t>Pertinencia</w:t>
            </w:r>
          </w:p>
        </w:tc>
        <w:tc>
          <w:tcPr>
            <w:tcW w:type="dxa" w:w="9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El programa permite resolución de problemas y laboratorios en la primera instancia de 20%. Un producto de software ofrece evidencia directa del aprendizaje esperado.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5"/>
              </w:rPr>
              <w:t>Validez</w:t>
            </w:r>
          </w:p>
        </w:tc>
        <w:tc>
          <w:tcPr>
            <w:tcW w:type="dxa" w:w="9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Los indicadores derivan del contenido oficial inicial y de los objetivos de las clases 1–4. Se excluyen tecnologías no cursadas para evitar contaminación del constructo.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5"/>
              </w:rPr>
              <w:t>Nivel</w:t>
            </w:r>
          </w:p>
        </w:tc>
        <w:tc>
          <w:tcPr>
            <w:tcW w:type="dxa" w:w="9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El contrato entrega nombres, firmas, datos y ejemplos; la complejidad se concentra en combinar fundamentos ya practicados, no en descubrir una arquitectura nueva.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5"/>
              </w:rPr>
              <w:t>Confiabilidad</w:t>
            </w:r>
          </w:p>
        </w:tc>
        <w:tc>
          <w:tcPr>
            <w:tcW w:type="dxa" w:w="9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La pauta desagrega 100 puntos, define descriptores y protocolo común. Las pruebas automatizadas reducen subjetividad y la defensa confirma comprensión.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5"/>
              </w:rPr>
              <w:t>Equidad y accesibilidad</w:t>
            </w:r>
          </w:p>
        </w:tc>
        <w:tc>
          <w:tcPr>
            <w:tcW w:type="dxa" w:w="9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Se permite documentación y asistencia IA, se ofrecen prompts escalonados y se evalúa la revisión crítica. Un fallo de compilación no borra evidencias independientes.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5"/>
              </w:rPr>
              <w:t>Autenticidad</w:t>
            </w:r>
          </w:p>
        </w:tc>
        <w:tc>
          <w:tcPr>
            <w:tcW w:type="dxa" w:w="9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El caso SIGEO mantiene el hilo conductor del curso y relaciona Java con una necesidad institucional sin requerir información sensible.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6. Cobertura, exclusiones y límites</w:t>
      </w:r>
    </w:p>
    <w:tbl>
      <w:tblPr>
        <w:tblW w:type="dxa" w:w="110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00"/>
        <w:gridCol w:w="3600"/>
        <w:gridCol w:w="3800"/>
      </w:tblGrid>
      <w:tr>
        <w:trPr>
          <w:tblHeader w:val="true"/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Incluido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Excluido en esta prueba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Razón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Java 25 básico, métodos, record/enum, invariantes.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Swing / GUI Builder.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No forma parte de los ejercicios efectivamente revisados en el repositorio hasta clase 4.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Excepciones de dominio y manejo de IOException.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Logging estructurado avanzado y análisis de memoria.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Se prioriza desempeño esencial y verificable en 135 minutos.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List, Map, Streams, archivo UTF-8 y JUnit.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HttpClient, networking y concurrencia/virtual threads.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Su integración elevaría la carga y reduciría validez para nivel inicial.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Codex/Copilot con trazabilidad y defensa.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Spring, REST, persistencia, seguridad, Java EE, Temporal y mensajería.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Contenidos posteriores a la clase 4.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7. Riesgos de aplicación y controles</w:t>
      </w:r>
    </w:p>
    <w:tbl>
      <w:tblPr>
        <w:tblW w:type="dxa" w:w="110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00"/>
        <w:gridCol w:w="4700"/>
        <w:gridCol w:w="3700"/>
      </w:tblGrid>
      <w:tr>
        <w:trPr>
          <w:tblHeader w:val="true"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Riesgo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Control preventivo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Evidencia para resolver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Dependencia excesiva de IA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Prompts por pasos, revisión de diff y prohibición de colaboración.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PROMPTS.md + defensa + microcambio.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Diferencias de entorno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Starter verificado, Maven Wrapper y 10 minutos iniciales de comprobación.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Commit congelado y ejecución en equipo institucional alternativo.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Corrección subjetiva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Desglose por subcriterio y descriptores comunes.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Registro de evidencia por indicador.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Pruebas manipuladas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Tests base no modificables y revisión de diff.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Reejecución desde commit inicial o pruebas del evaluador.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Sobrecarga para principiantes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Contrato, datos, ejemplos, prompts y plan de tiempo.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Puntaje parcial por evidencia independiente.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8. Lista de revisión del instrumento</w:t>
      </w:r>
    </w:p>
    <w:p>
      <w:pPr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[ ] La portada identifica curso, unidad, ponderación, duración, puntaje y condiciones.</w:t>
      </w:r>
    </w:p>
    <w:p>
      <w:pPr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[ ] Cada indicador posee una evidencia observable y una ponderación única.</w:t>
      </w:r>
    </w:p>
    <w:p>
      <w:pPr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[ ] La suma de criterios, indicadores y puntos es 100% / 100 puntos.</w:t>
      </w:r>
    </w:p>
    <w:p>
      <w:pPr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[ ] Prueba, pauta y matriz usan los mismos códigos IE1–IE6 y los mismos pesos.</w:t>
      </w:r>
    </w:p>
    <w:p>
      <w:pPr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[ ] El nivel de dificultad corresponde a estudiantes iniciales y a 135 minutos.</w:t>
      </w:r>
    </w:p>
    <w:p>
      <w:pPr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[ ] No se exigen contenidos posteriores a la clase 4.</w:t>
      </w:r>
    </w:p>
    <w:p>
      <w:pPr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[ ] El uso de IA está permitido, regulado y evaluado por comprensión.</w:t>
      </w:r>
    </w:p>
    <w:p>
      <w:pPr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[ ] Se definió actuación ante fallos de infraestructura y alternativas válidas.</w:t>
      </w:r>
    </w:p>
    <w:p>
      <w:pPr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[ ] La conversión de puntaje a nota se realizará con el PIE vigente.</w:t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9. Dictamen del revisor</w:t>
      </w:r>
    </w:p>
    <w:tbl>
      <w:tblPr>
        <w:tblW w:type="dxa" w:w="110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300"/>
        <w:gridCol w:w="900"/>
        <w:gridCol w:w="6800"/>
      </w:tblGrid>
      <w:tr>
        <w:trPr>
          <w:tblHeader w:val="true"/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Decisión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Marcar</w:t>
            </w:r>
          </w:p>
        </w:tc>
        <w:tc>
          <w:tcPr>
            <w:tcW w:type="dxa" w:w="6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Observaciones / condiciones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Aprobado sin observaciones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[ ]</w:t>
            </w:r>
          </w:p>
        </w:tc>
        <w:tc>
          <w:tcPr>
            <w:tcW w:type="dxa" w:w="6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Aprobado con ajustes menores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[ ]</w:t>
            </w:r>
          </w:p>
        </w:tc>
        <w:tc>
          <w:tcPr>
            <w:tcW w:type="dxa" w:w="6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Requiere ajustes antes de aplicar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[ ]</w:t>
            </w:r>
          </w:p>
        </w:tc>
        <w:tc>
          <w:tcPr>
            <w:tcW w:type="dxa" w:w="6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10. Firmas y cierre de revisión</w:t>
      </w:r>
    </w:p>
    <w:p>
      <w:pPr>
        <w:keepLines w:val="0"/>
        <w:spacing w:before="0" w:after="100" w:line="259" w:lineRule="auto"/>
        <w:jc w:val="left"/>
      </w:pPr>
      <w:r>
        <w:rPr>
          <w:rFonts w:ascii="Arial" w:hAnsi="Arial"/>
          <w:b w:val="0"/>
          <w:i w:val="0"/>
          <w:color w:val="1F1F1F"/>
          <w:sz w:val="19"/>
        </w:rPr>
        <w:t>Consigne las observaciones que condicionan la aprobación y la versión del instrumento revisado.</w:t>
      </w:r>
    </w:p>
    <w:tbl>
      <w:tblPr>
        <w:tblW w:type="dxa" w:w="110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1000"/>
      </w:tblGrid>
      <w:tr>
        <w:trPr>
          <w:tblHeader w:val="true"/>
          <w:cantSplit/>
        </w:trPr>
        <w:tc>
          <w:tcPr>
            <w:tcW w:type="dxa" w:w="1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6"/>
              </w:rPr>
              <w:t>Observaciones finales</w:t>
            </w:r>
          </w:p>
        </w:tc>
      </w:tr>
      <w:tr>
        <w:trPr>
          <w:cantSplit/>
        </w:trPr>
        <w:tc>
          <w:tcPr>
            <w:tcW w:type="dxa" w:w="1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1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1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tbl>
      <w:tblPr>
        <w:tblW w:type="dxa" w:w="110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800"/>
        <w:gridCol w:w="2200"/>
        <w:gridCol w:w="6000"/>
      </w:tblGrid>
      <w:tr>
        <w:trPr>
          <w:tblHeader w:val="true"/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Versión revisada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Fecha</w:t>
            </w:r>
          </w:p>
        </w:tc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Responsable de incorporar ajustes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</w:r>
          </w:p>
        </w:tc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br/>
              <w:br/>
              <w:t>_______________________________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br/>
              <w:br/>
              <w:t>_______________________________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br/>
              <w:br/>
              <w:t>_______________________________</w:t>
            </w:r>
          </w:p>
        </w:tc>
      </w:tr>
      <w:tr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6"/>
              </w:rPr>
              <w:t>ELABORÓ</w:t>
              <w:br/>
              <w:t>Nombre / cargo / firma / fecha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6"/>
              </w:rPr>
              <w:t>REVISÓ</w:t>
              <w:br/>
              <w:t>Nombre / cargo / firma / fecha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6"/>
              </w:rPr>
              <w:t>APROBÓ</w:t>
              <w:br/>
              <w:t>Nombre / cargo / firma / fecha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864" w:bottom="864" w:left="864" w:header="403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40" w:lineRule="auto"/>
      <w:jc w:val="center"/>
    </w:pPr>
    <w:r>
      <w:rPr>
        <w:rFonts w:ascii="Arial" w:hAnsi="Arial"/>
        <w:b w:val="0"/>
        <w:i w:val="0"/>
        <w:color w:val="7F8C8D"/>
        <w:sz w:val="16"/>
      </w:rPr>
      <w:t xml:space="preserve">Desarrollo de aplicaciones  |  </w:t>
    </w:r>
    <w:fldSimple w:instr="PAGE">
      <w:r>
        <w:rPr>
          <w:rFonts w:ascii="Arial" w:hAnsi="Arial"/>
          <w:color w:val="7F8C8D"/>
          <w:sz w:val="17"/>
          <w:szCs w:val="17"/>
        </w:rPr>
        <w:t>1</w:t>
      </w:r>
    </w:fldSimple>
    <w:r>
      <w:rPr>
        <w:rFonts w:ascii="Arial" w:hAnsi="Arial"/>
        <w:b w:val="0"/>
        <w:i w:val="0"/>
        <w:color w:val="7F8C8D"/>
        <w:sz w:val="16"/>
      </w:rPr>
      <w:t xml:space="preserve"> de </w:t>
    </w:r>
    <w:fldSimple w:instr="NUMPAGES">
      <w:r>
        <w:rPr>
          <w:rFonts w:ascii="Arial" w:hAnsi="Arial"/>
          <w:color w:val="7F8C8D"/>
          <w:sz w:val="17"/>
          <w:szCs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tabs>
        <w:tab w:pos="14112" w:val="right"/>
      </w:tabs>
      <w:spacing w:before="0" w:after="0" w:line="240" w:lineRule="auto"/>
    </w:pPr>
    <w:r/>
    <w:r>
      <w:rPr>
        <w:rFonts w:ascii="Arial" w:hAnsi="Arial"/>
        <w:b/>
        <w:i w:val="0"/>
        <w:color w:val="1F1F1F"/>
        <w:sz w:val="14"/>
      </w:rPr>
      <w:t>EJÉRCITO DE CHILE</w:t>
    </w:r>
    <w:r>
      <w:rPr>
        <w:rFonts w:ascii="Arial" w:hAnsi="Arial"/>
        <w:b/>
        <w:i w:val="0"/>
        <w:color w:val="7F8C8D"/>
        <w:sz w:val="14"/>
      </w:rPr>
      <w:tab/>
      <w:t>MATRIZ — EVALUACIÓN N.º 1</w:t>
    </w:r>
    <w:r>
      <w:rPr>
        <w:rFonts w:ascii="Arial" w:hAnsi="Arial"/>
        <w:b w:val="0"/>
        <w:i w:val="0"/>
        <w:color w:val="1F1F1F"/>
        <w:sz w:val="14"/>
      </w:rPr>
      <w:br/>
      <w:t>ESCUELA DE TELECOMUNICACIONES · III CRIM</w:t>
    </w:r>
    <w:r>
      <w:rPr>
        <w:rFonts w:ascii="Arial" w:hAnsi="Arial"/>
        <w:b w:val="0"/>
        <w:i w:val="0"/>
        <w:color w:val="7F8C8D"/>
        <w:sz w:val="14"/>
      </w:rPr>
      <w:tab/>
      <w:t>EJEMPLAR N.º ____ / HOJA N.º 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