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C2185B"/>
          <w:sz w:val="40"/>
          <w:szCs w:val="40"/>
        </w:rPr>
        <w:t xml:space="preserve">Best Price – Holi</w:t>
      </w:r>
    </w:p>
    <w:p>
      <w:pPr>
        <w:spacing w:after="200"/>
        <w:jc w:val="center"/>
      </w:pPr>
      <w:r>
        <w:rPr>
          <w:color w:val="1F1F1F"/>
          <w:sz w:val="26"/>
          <w:szCs w:val="26"/>
        </w:rPr>
        <w:t xml:space="preserve">Guía de uso del panel de Pricing (carga de Excel y fotos)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Responsable: Equipo de Pricing</w:t>
      </w:r>
    </w:p>
    <w:p>
      <w:pPr>
        <w:spacing w:after="300"/>
        <w:jc w:val="center"/>
      </w:pPr>
      <w:r>
        <w:rPr>
          <w:color w:val="666666"/>
          <w:sz w:val="20"/>
          <w:szCs w:val="20"/>
        </w:rPr>
        <w:t xml:space="preserve">Soporte técnico: Equipo de TI</w:t>
      </w:r>
    </w:p>
    <w:p>
      <w:pPr>
        <w:pStyle w:val="Heading1"/>
      </w:pPr>
      <w:r>
        <w:t xml:space="preserve">¿Qué es esto?</w:t>
      </w:r>
    </w:p>
    <w:p>
      <w:pPr>
        <w:spacing w:after="120"/>
      </w:pPr>
      <w:r>
        <w:t xml:space="preserve">Cada viñeta de Best Price en tienda tiene impreso un código QR fijo. Cuando el cliente lo escanea con su celular, siempre abre la misma página web (comparativa.html).</w:t>
      </w:r>
    </w:p>
    <w:p>
      <w:pPr>
        <w:spacing w:after="120"/>
      </w:pPr>
      <w:r>
        <w:t xml:space="preserve">Lo que cambia semana a semana no es el QR ni la página, sino la información que esa página muestra: el precio Holi frente a la competencia. Esa información se actualiza desde un panel web sencillo, sin necesidad de tocar código ni pedirle nada a TI cada semana.</w:t>
      </w:r>
    </w:p>
    <w:p>
      <w:pPr>
        <w:spacing w:after="120"/>
      </w:pPr>
      <w:r>
        <w:rPr>
          <w:b/>
          <w:bCs/>
          <w:color w:val="FF8300"/>
        </w:rPr>
        <w:t xml:space="preserve">Punto clave: el QR NO se vuelve a imprimir cada semana. Solo se actualiza la información en el panel.</w:t>
      </w:r>
    </w:p>
    <w:p>
      <w:pPr>
        <w:pStyle w:val="Heading1"/>
      </w:pPr>
      <w:r>
        <w:t xml:space="preserve">Acceso al panel</w:t>
      </w:r>
    </w:p>
    <w:p>
      <w:pPr>
        <w:spacing w:after="120"/>
      </w:pPr>
      <w:r>
        <w:t xml:space="preserve">Entra a la URL del panel (te la proporciona TI) y agrega /admin al final, por ejemplo:</w:t>
      </w:r>
    </w:p>
    <w:p>
      <w:pPr>
        <w:spacing w:after="120"/>
      </w:pPr>
      <w:r>
        <w:rPr>
          <w:i/>
          <w:iCs/>
        </w:rPr>
        <w:t xml:space="preserve">https://[url-del-proyecto].up.railway.app/admin</w:t>
      </w:r>
    </w:p>
    <w:p>
      <w:pPr>
        <w:spacing w:after="120"/>
      </w:pPr>
      <w:r>
        <w:t xml:space="preserve">Ingresa con la clave compartida que te dio TI. Todo el equipo de Pricing usa la misma clave.</w:t>
      </w:r>
    </w:p>
    <w:p>
      <w:pPr>
        <w:pStyle w:val="Heading1"/>
      </w:pPr>
      <w:r>
        <w:t xml:space="preserve">Flujo semanal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equipo comercial comparte el costo y PVP vigente (proceso ya definido, lunes 9:30 a.m.).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Pricing realiza la comparativa y el ajuste con Pricelab (proceso ya existente).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Pricing abre su archivo Excel de comparativa y actualiza una fila por cada producto del programa Best Price, con las columnas indicadas más abajo (los competidores son opcionales y se pueden dejar en blanco).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panel ("1. Cargar Excel con la comparativa"), selecciona ese archivo y haz clic en "Subir Excel". Los precios se actualizan al instante — no hace falta avisar a TI.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algún producto no tiene foto todavía, súbela en la sección "3. Foto de cada producto" (una sola foto por producto, no una por competidor).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Verifica el resultado: en la sección "Vista previa" del panel, haz clic en "Ver [nombre del producto]" para confirmar que los precios se ven bien antes de avisar a tienda.</w:t>
      </w:r>
    </w:p>
    <w:p>
      <w:pPr>
        <w:pStyle w:val="Heading2"/>
      </w:pPr>
      <w:r>
        <w:t xml:space="preserve">Columnas del archivo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2000"/>
        <w:gridCol w:w="2260"/>
      </w:tblGrid>
      <w:tr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C2185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C2185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¿Qué va aquí?</w:t>
            </w:r>
          </w:p>
        </w:tc>
        <w:tc>
          <w:tcPr>
            <w:tcW w:type="dxa" w:w="2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C2185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¿Obligatorio?</w:t>
            </w:r>
          </w:p>
        </w:tc>
        <w:tc>
          <w:tcPr>
            <w:tcW w:type="dxa" w:w="22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C2185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Ejemplo</w:t>
            </w:r>
          </w:p>
        </w:tc>
      </w:tr>
      <w:tr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SKU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Código del producto. Debe ser el mismo que lleva el QR impreso en la viñeta.</w:t>
            </w:r>
          </w:p>
        </w:tc>
        <w:tc>
          <w:tcPr>
            <w:tcW w:type="dxa" w:w="2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type="dxa" w:w="22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721733005901</w:t>
            </w:r>
          </w:p>
        </w:tc>
      </w:tr>
      <w:tr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Producto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Nombre del producto, incluyendo su presentación.</w:t>
            </w:r>
          </w:p>
        </w:tc>
        <w:tc>
          <w:tcPr>
            <w:tcW w:type="dxa" w:w="2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type="dxa" w:w="22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TEQUILA PATRON ANEJO 700ML</w:t>
            </w:r>
          </w:p>
        </w:tc>
      </w:tr>
      <w:tr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Marca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Marca del producto.</w:t>
            </w:r>
          </w:p>
        </w:tc>
        <w:tc>
          <w:tcPr>
            <w:tcW w:type="dxa" w:w="2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type="dxa" w:w="22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PATRON</w:t>
            </w:r>
          </w:p>
        </w:tc>
      </w:tr>
      <w:tr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Precio Holi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Precio de venta al público vigente en Holi.</w:t>
            </w:r>
          </w:p>
        </w:tc>
        <w:tc>
          <w:tcPr>
            <w:tcW w:type="dxa" w:w="2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type="dxa" w:w="22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359.90</w:t>
            </w:r>
          </w:p>
        </w:tc>
      </w:tr>
      <w:tr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Tienda 1 / 2 / 3 / 4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Nombre de la tienda competidora encontrada en el Scrapp.</w:t>
            </w:r>
          </w:p>
        </w:tc>
        <w:tc>
          <w:tcPr>
            <w:tcW w:type="dxa" w:w="2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 (opcional)</w:t>
            </w:r>
          </w:p>
        </w:tc>
        <w:tc>
          <w:tcPr>
            <w:tcW w:type="dxa" w:w="22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Tottus</w:t>
            </w:r>
          </w:p>
        </w:tc>
      </w:tr>
      <w:tr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Precio Competidor 1 / 2 / 3 / 4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Precio encontrado en esa tienda. Deja ambas celdas en blanco si no hay dato para ese competidor.</w:t>
            </w:r>
          </w:p>
        </w:tc>
        <w:tc>
          <w:tcPr>
            <w:tcW w:type="dxa" w:w="2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 (opcional)</w:t>
            </w:r>
          </w:p>
        </w:tc>
        <w:tc>
          <w:tcPr>
            <w:tcW w:type="dxa" w:w="22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299.90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Reglas importantes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SKU en el Excel debe ser EXACTAMENTE el mismo que el QR impreso en la viñeta del producto. Si no coinciden, el cliente verá el mensaje “no encontramos la comparativa”.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No hace falta escribir el nombre del producto de cada competidor ni su fecha: el sistema siempre usa el nombre del producto Holi y la fecha en que subiste el Excel.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foto de un producto se sube UNA sola vez; si vuelves a subir el Excel la semana siguiente, la foto ya cargada se conserva automáticamente (no hay que subirla de nuevo).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se agrega un producto NUEVO al programa Best Price, avisar a TI para que genere el nuevo QR antes de imprimir la viñeta (eso sí requiere a TI, una sola vez por producto).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disclaimer legal del programa ya está incluido de forma fija en la página; Pricing no necesita editarlo.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sistema calcula automáticamente el monto y el porcentaje de diferencia (“por encima” o “por debajo”) entre el precio Holi y cada competidor; Pricing solo ingresa los precios, no el cálculo.</w:t>
      </w:r>
    </w:p>
    <w:p>
      <w:pPr>
        <w:pStyle w:val="Heading1"/>
      </w:pPr>
      <w:r>
        <w:t xml:space="preserve">¿Qué hacer si algo sale mal?</w:t>
      </w:r>
    </w:p>
    <w:p>
      <w:pPr>
        <w:spacing w:after="120"/>
      </w:pPr>
      <w:r>
        <w:t xml:space="preserve">Contactar al equipo de TI indicando el SKU afectado y, de ser posible, una captura de pantalla del mensaje de error que aparece en el panel.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Documento vivo — se actualizará si cambia el panel o la URL. ·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b/>
        <w:bCs/>
        <w:color w:val="C2185B"/>
        <w:sz w:val="18"/>
        <w:szCs w:val="18"/>
      </w:rPr>
      <w:t xml:space="preserve">BEST PRICE · HOLI</w:t>
    </w:r>
    <w:r>
      <w:rPr>
        <w:color w:val="666666"/>
        <w:sz w:val="18"/>
        <w:szCs w:val="18"/>
      </w:rPr>
      <w:t xml:space="preserve">	Guía de capacitación — Pricing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C2185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1F1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2026-07-07T20:15:06.727Z</dcterms:created>
  <dcterms:modified xsi:type="dcterms:W3CDTF">2026-07-07T20:15:06.731Z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