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eastAsia="Microsoft YaHei"/>
          <w:b/>
          <w:i w:val="0"/>
          <w:color w:val="2E74B5"/>
          <w:sz w:val="20"/>
        </w:rPr>
        <w:t>阶段研究简报 · V0.1</w:t>
      </w:r>
    </w:p>
    <w:p>
      <w:pPr>
        <w:spacing w:before="0" w:after="120"/>
      </w:pPr>
      <w:r>
        <w:rPr>
          <w:rFonts w:ascii="Calibri" w:hAnsi="Calibri" w:eastAsia="Microsoft YaHei"/>
          <w:b/>
          <w:i w:val="0"/>
          <w:color w:val="202D3A"/>
          <w:sz w:val="50"/>
        </w:rPr>
        <w:t>第五天研究证据简报</w:t>
      </w:r>
    </w:p>
    <w:p>
      <w:pPr>
        <w:spacing w:before="0" w:after="280"/>
      </w:pPr>
      <w:r>
        <w:rPr>
          <w:rFonts w:ascii="Calibri" w:hAnsi="Calibri" w:eastAsia="Microsoft YaHei"/>
          <w:b w:val="0"/>
          <w:i w:val="0"/>
          <w:color w:val="69717A"/>
          <w:sz w:val="25"/>
        </w:rPr>
        <w:t>从数据、证据与限制，连接到产品含义及 Gate 1 待决问题</w:t>
      </w:r>
    </w:p>
    <w:p>
      <w:pPr>
        <w:spacing w:before="0" w:after="160"/>
        <w:pBdr>
          <w:bottom w:val="single" w:sz="10" w:space="1" w:color="AEB8C5"/>
        </w:pBdr>
      </w:pPr>
      <w:r>
        <w:rPr>
          <w:rFonts w:ascii="Calibri" w:hAnsi="Calibri" w:eastAsia="Microsoft YaHei"/>
          <w:b w:val="0"/>
          <w:i w:val="0"/>
          <w:color w:val="69717A"/>
          <w:sz w:val="19"/>
        </w:rPr>
        <w:t>日期：2026-08-05    |    版本：V0.1    |    状态：结构已建立</w:t>
      </w:r>
    </w:p>
    <w:p>
      <w:pPr>
        <w:pStyle w:val="Heading1"/>
        <w:keepNext/>
        <w:spacing w:before="360" w:after="160"/>
      </w:pPr>
      <w:r>
        <w:rPr>
          <w:rFonts w:ascii="Calibri" w:hAnsi="Calibri" w:eastAsia="Microsoft YaHei"/>
          <w:b/>
          <w:i w:val="0"/>
          <w:color w:val="2E74B5"/>
          <w:sz w:val="32"/>
        </w:rPr>
        <w:t>1. 研究目的与当前阶段</w:t>
      </w:r>
    </w:p>
    <w:p>
      <w:pPr>
        <w:keepLines/>
        <w:spacing w:before="0" w:after="160" w:line="300" w:lineRule="auto"/>
      </w:pPr>
      <w:r>
        <w:rPr>
          <w:rFonts w:ascii="Calibri" w:hAnsi="Calibri" w:eastAsia="Microsoft YaHei"/>
          <w:b/>
          <w:color w:val="2E74B5"/>
          <w:sz w:val="21"/>
        </w:rPr>
        <w:t xml:space="preserve">研究目的  </w:t>
      </w:r>
      <w:r>
        <w:rPr>
          <w:rFonts w:ascii="Calibri" w:hAnsi="Calibri" w:eastAsia="Microsoft YaHei"/>
          <w:b w:val="0"/>
          <w:color w:val="202D3A"/>
          <w:sz w:val="22"/>
        </w:rPr>
        <w:t>ResearchOps当前需要验证的核心问题是：论文/开源模型复现过程中，是否存在值得产品优先解决的前置判断、执行阻塞和协作需求。因此，本轮研究通过问卷调查、开放回答以及公开失败案例，对首版产品假设进行初步检验。</w:t>
      </w:r>
    </w:p>
    <w:p>
      <w:pPr>
        <w:keepLines/>
        <w:spacing w:before="40" w:after="360" w:line="300" w:lineRule="auto"/>
        <w:pBdr>
          <w:left w:val="single" w:sz="16" w:space="8" w:color="D6E4F2"/>
        </w:pBdr>
      </w:pPr>
      <w:r>
        <w:rPr>
          <w:rFonts w:ascii="Calibri" w:hAnsi="Calibri" w:eastAsia="Microsoft YaHei"/>
          <w:b/>
          <w:color w:val="2E74B5"/>
          <w:sz w:val="21"/>
        </w:rPr>
        <w:t xml:space="preserve">当前阶段与研究边界  </w:t>
      </w:r>
      <w:r>
        <w:rPr>
          <w:rFonts w:ascii="Calibri" w:hAnsi="Calibri" w:eastAsia="Microsoft YaHei"/>
          <w:b w:val="0"/>
          <w:color w:val="202D3A"/>
          <w:sz w:val="22"/>
        </w:rPr>
        <w:t>当前处于Gate 1前的问题与需求初检阶段，对小规模用户自陈的复现经历与阻塞问题以及公开失败案例进行初步调研，为是否继续或调整当前产品方向、确定MVP优先解决的问题，以及明确下一阶段需继续验证的假设提供证据输入。但本轮研究仅基于小规模且结构较集中的便利样本，存在自陈偏差，不能外推至整体AI研究者、工程师或更广泛的模型复现用户群体，也不能证明产品本身已经有效。后续仍需通过更广泛的样本和真实产品使用行为继续验证。</w:t>
      </w:r>
    </w:p>
    <w:p>
      <w:pPr>
        <w:pStyle w:val="Heading1"/>
        <w:keepNext/>
        <w:spacing w:before="360" w:after="160"/>
      </w:pPr>
      <w:r>
        <w:rPr>
          <w:rFonts w:ascii="Calibri" w:hAnsi="Calibri" w:eastAsia="Microsoft YaHei"/>
          <w:b/>
          <w:i w:val="0"/>
          <w:color w:val="2E74B5"/>
          <w:sz w:val="32"/>
        </w:rPr>
        <w:t>2. 数据来源与分析口径</w:t>
      </w:r>
    </w:p>
    <w:p>
      <w:pPr>
        <w:keepLines/>
        <w:spacing w:before="0" w:after="160" w:line="300" w:lineRule="auto"/>
      </w:pPr>
      <w:r>
        <w:rPr>
          <w:rFonts w:ascii="Calibri" w:hAnsi="Calibri" w:eastAsia="Microsoft YaHei"/>
          <w:b/>
          <w:color w:val="2E74B5"/>
          <w:sz w:val="21"/>
        </w:rPr>
        <w:t xml:space="preserve">证据来源  </w:t>
      </w:r>
      <w:r>
        <w:rPr>
          <w:rFonts w:ascii="Calibri" w:hAnsi="Calibri" w:eastAsia="Microsoft YaHei"/>
          <w:b w:val="0"/>
          <w:color w:val="202D3A"/>
          <w:sz w:val="22"/>
        </w:rPr>
        <w:t>当前阶段，本轮研究证据主要包括正式问卷中的结构化回答与开放回答、公开失败案例，以及FGI创始用户复现案例。正式问卷主要用于数量和比例统计；开放回答用于解释问题、处理方式和提前信息需求；公开失败案例用于外部案例验证和H5诊断覆盖；FGI创始用户复现案例用于提供完整复现过程证据，不计算市场频率。</w:t>
      </w:r>
    </w:p>
    <w:p>
      <w:pPr>
        <w:keepLines/>
        <w:spacing w:before="40" w:after="360" w:line="300" w:lineRule="auto"/>
        <w:pBdr>
          <w:left w:val="single" w:sz="16" w:space="8" w:color="D6E4F2"/>
        </w:pBdr>
      </w:pPr>
      <w:r>
        <w:rPr>
          <w:rFonts w:ascii="Calibri" w:hAnsi="Calibri" w:eastAsia="Microsoft YaHei"/>
          <w:b/>
          <w:color w:val="2E74B5"/>
          <w:sz w:val="21"/>
        </w:rPr>
        <w:t xml:space="preserve">统计口径  </w:t>
      </w:r>
      <w:r>
        <w:rPr>
          <w:rFonts w:ascii="Calibri" w:hAnsi="Calibri" w:eastAsia="Microsoft YaHei"/>
          <w:b w:val="0"/>
          <w:color w:val="202D3A"/>
          <w:sz w:val="22"/>
        </w:rPr>
        <w:t>在正式问卷中，原始回答23份，其中核心有效样本</w:t>
      </w:r>
      <w:r>
        <w:rPr>
          <w:rFonts w:ascii="Calibri" w:hAnsi="Calibri" w:eastAsia="Microsoft YaHei"/>
          <w:b/>
          <w:color w:val="202D3A"/>
          <w:sz w:val="22"/>
        </w:rPr>
        <w:t>N_user = 20</w:t>
      </w:r>
      <w:r>
        <w:rPr>
          <w:rFonts w:ascii="Calibri" w:hAnsi="Calibri" w:eastAsia="Microsoft YaHei"/>
          <w:b w:val="0"/>
          <w:color w:val="202D3A"/>
          <w:sz w:val="22"/>
        </w:rPr>
        <w:t>；开放回答在20份核心有效问卷样本中，11份至少填写了一个Q17开放字段；公开失败案例共20条，经审计后20条均纳入有效案例，记为</w:t>
      </w:r>
      <w:r>
        <w:rPr>
          <w:rFonts w:ascii="Calibri" w:hAnsi="Calibri" w:eastAsia="Microsoft YaHei"/>
          <w:b/>
          <w:color w:val="202D3A"/>
          <w:sz w:val="22"/>
        </w:rPr>
        <w:t>N_case = 20</w:t>
      </w:r>
      <w:r>
        <w:rPr>
          <w:rFonts w:ascii="Calibri" w:hAnsi="Calibri" w:eastAsia="Microsoft YaHei"/>
          <w:b w:val="0"/>
          <w:color w:val="202D3A"/>
          <w:sz w:val="22"/>
        </w:rPr>
        <w:t>；FGI创始用户复现案例不计入频率统计。问卷相关比例均以核心有效用户</w:t>
      </w:r>
      <w:r>
        <w:rPr>
          <w:rFonts w:ascii="Calibri" w:hAnsi="Calibri" w:eastAsia="Microsoft YaHei"/>
          <w:b/>
          <w:color w:val="202D3A"/>
          <w:sz w:val="22"/>
        </w:rPr>
        <w:t>N_user = 20</w:t>
      </w:r>
      <w:r>
        <w:rPr>
          <w:rFonts w:ascii="Calibri" w:hAnsi="Calibri" w:eastAsia="Microsoft YaHei"/>
          <w:b w:val="0"/>
          <w:color w:val="202D3A"/>
          <w:sz w:val="22"/>
        </w:rPr>
        <w:t>为总体分母；涉及Q17开放回答时，根据具体问题注明实际填写者分母。公开案例覆盖分析以有效公开案例</w:t>
      </w:r>
      <w:r>
        <w:rPr>
          <w:rFonts w:ascii="Calibri" w:hAnsi="Calibri" w:eastAsia="Microsoft YaHei"/>
          <w:b/>
          <w:color w:val="202D3A"/>
          <w:sz w:val="22"/>
        </w:rPr>
        <w:t>N_case = 20</w:t>
      </w:r>
      <w:r>
        <w:rPr>
          <w:rFonts w:ascii="Calibri" w:hAnsi="Calibri" w:eastAsia="Microsoft YaHei"/>
          <w:b w:val="0"/>
          <w:color w:val="202D3A"/>
          <w:sz w:val="22"/>
        </w:rPr>
        <w:t>为分母。两类样本单位及比例含义不同，不进行混用。</w:t>
      </w:r>
    </w:p>
    <w:p>
      <w:pPr>
        <w:pStyle w:val="Heading1"/>
        <w:keepNext/>
        <w:pageBreakBefore w:val="0"/>
        <w:spacing w:before="360" w:after="160"/>
      </w:pPr>
      <w:r>
        <w:rPr>
          <w:rFonts w:ascii="Calibri" w:hAnsi="Calibri" w:eastAsia="Microsoft YaHei"/>
          <w:b/>
          <w:i w:val="0"/>
          <w:color w:val="2E74B5"/>
          <w:sz w:val="32"/>
        </w:rPr>
        <w:t>3. 样本结构与研究限制</w:t>
      </w:r>
    </w:p>
    <w:p>
      <w:pPr>
        <w:keepLines/>
        <w:spacing w:before="0" w:after="280" w:line="288" w:lineRule="auto"/>
      </w:pPr>
      <w:r>
        <w:rPr>
          <w:rFonts w:ascii="Calibri" w:hAnsi="Calibri" w:eastAsia="Microsoft YaHei"/>
          <w:b/>
          <w:color w:val="2E74B5"/>
          <w:sz w:val="21"/>
        </w:rPr>
        <w:t xml:space="preserve">样本结构  </w:t>
      </w:r>
      <w:r>
        <w:rPr>
          <w:rFonts w:ascii="Calibri" w:hAnsi="Calibri" w:eastAsia="Microsoft YaHei"/>
          <w:b w:val="0"/>
          <w:color w:val="202D3A"/>
          <w:sz w:val="22"/>
        </w:rPr>
        <w:t>在20名核心有效用户中，研究生群体占18/20（90.0%），其中硕士研究生16/20（80.0%）；计算机视觉方向用户为17/20（85.0%）；14/20（70.0%）使用实验室共享GPU服务器；17/20（85.0%）的复现任务服务于科研或学位课题。整体来看，本轮样本在身份、技术方向和使用场景上较为集中，更接近具有一定AI实验基础、在科研场景中进行模型或论文复现的研究型用户。</w:t>
      </w:r>
    </w:p>
    <w:p>
      <w:pPr>
        <w:pStyle w:val="Heading2"/>
        <w:keepNext/>
        <w:spacing w:before="120" w:after="120"/>
      </w:pPr>
      <w:r>
        <w:rPr>
          <w:rFonts w:ascii="Calibri" w:hAnsi="Calibri" w:eastAsia="Microsoft YaHei"/>
          <w:b/>
          <w:color w:val="2E74B5"/>
          <w:sz w:val="26"/>
        </w:rPr>
        <w:t>研究限制</w:t>
      </w:r>
    </w:p>
    <w:p>
      <w:pPr>
        <w:keepLines/>
        <w:spacing w:before="0" w:after="140" w:line="276" w:lineRule="auto"/>
        <w:ind w:left="200" w:hanging="200"/>
        <w:pBdr>
          <w:left w:val="single" w:sz="16" w:space="8" w:color="E0E7EF"/>
        </w:pBdr>
      </w:pPr>
      <w:r>
        <w:rPr>
          <w:rFonts w:ascii="Calibri" w:hAnsi="Calibri" w:eastAsia="Microsoft YaHei"/>
          <w:b/>
          <w:color w:val="2E74B5"/>
          <w:sz w:val="21"/>
        </w:rPr>
        <w:t>样本规模较小。</w:t>
      </w:r>
      <w:r>
        <w:rPr>
          <w:rFonts w:ascii="Calibri" w:hAnsi="Calibri" w:eastAsia="Microsoft YaHei"/>
          <w:b w:val="0"/>
          <w:color w:val="202D3A"/>
          <w:sz w:val="21"/>
        </w:rPr>
        <w:t>本轮核心有效用户仅20名，相关比例仅描述当前样本中的观察结果，不代表整体AI研究者或模型复现用户群体中的总体发生率。</w:t>
      </w:r>
    </w:p>
    <w:p>
      <w:pPr>
        <w:keepLines/>
        <w:spacing w:before="0" w:after="140" w:line="276" w:lineRule="auto"/>
        <w:ind w:left="200" w:hanging="200"/>
        <w:pBdr>
          <w:left w:val="single" w:sz="16" w:space="8" w:color="E0E7EF"/>
        </w:pBdr>
      </w:pPr>
      <w:r>
        <w:rPr>
          <w:rFonts w:ascii="Calibri" w:hAnsi="Calibri" w:eastAsia="Microsoft YaHei"/>
          <w:b/>
          <w:color w:val="2E74B5"/>
          <w:sz w:val="21"/>
        </w:rPr>
        <w:t>采用便利抽样。</w:t>
      </w:r>
      <w:r>
        <w:rPr>
          <w:rFonts w:ascii="Calibri" w:hAnsi="Calibri" w:eastAsia="Microsoft YaHei"/>
          <w:b w:val="0"/>
          <w:color w:val="202D3A"/>
          <w:sz w:val="21"/>
        </w:rPr>
        <w:t>本轮样本并非从目标用户总体中随机抽取，因此可能存在样本选择偏差。</w:t>
      </w:r>
    </w:p>
    <w:p>
      <w:pPr>
        <w:keepLines/>
        <w:spacing w:before="0" w:after="140" w:line="276" w:lineRule="auto"/>
        <w:ind w:left="200" w:hanging="200"/>
        <w:pBdr>
          <w:left w:val="single" w:sz="16" w:space="8" w:color="E0E7EF"/>
        </w:pBdr>
      </w:pPr>
      <w:r>
        <w:rPr>
          <w:rFonts w:ascii="Calibri" w:hAnsi="Calibri" w:eastAsia="Microsoft YaHei"/>
          <w:b/>
          <w:color w:val="2E74B5"/>
          <w:sz w:val="21"/>
        </w:rPr>
        <w:t>样本结构较为集中。</w:t>
      </w:r>
      <w:r>
        <w:rPr>
          <w:rFonts w:ascii="Calibri" w:hAnsi="Calibri" w:eastAsia="Microsoft YaHei"/>
          <w:b w:val="0"/>
          <w:color w:val="202D3A"/>
          <w:sz w:val="21"/>
        </w:rPr>
        <w:t>当前样本主要集中于研究生、计算机视觉方向以及科研或学位课题场景，因此对企业算法工程师、LLM应用开发者、纯软件工程师及其他非科研型AI用户的代表性有限。</w:t>
      </w:r>
    </w:p>
    <w:p>
      <w:pPr>
        <w:keepLines/>
        <w:spacing w:before="0" w:after="140" w:line="276" w:lineRule="auto"/>
        <w:ind w:left="200" w:hanging="200"/>
        <w:pBdr>
          <w:left w:val="single" w:sz="16" w:space="8" w:color="E0E7EF"/>
        </w:pBdr>
      </w:pPr>
      <w:r>
        <w:rPr>
          <w:rFonts w:ascii="Calibri" w:hAnsi="Calibri" w:eastAsia="Microsoft YaHei"/>
          <w:b/>
          <w:color w:val="2E74B5"/>
          <w:sz w:val="21"/>
        </w:rPr>
        <w:t>存在自陈偏差。</w:t>
      </w:r>
      <w:r>
        <w:rPr>
          <w:rFonts w:ascii="Calibri" w:hAnsi="Calibri" w:eastAsia="Microsoft YaHei"/>
          <w:b w:val="0"/>
          <w:color w:val="202D3A"/>
          <w:sz w:val="21"/>
        </w:rPr>
        <w:t>问卷主要依赖用户回忆过去的复现经历，可能受到记忆偏差、主观判断差异以及对耗时和困难程度感知差异的影响，因此不能等同于直接观察到的真实行为数据。</w:t>
      </w:r>
    </w:p>
    <w:p>
      <w:pPr>
        <w:keepLines/>
        <w:spacing w:before="0" w:after="140" w:line="276" w:lineRule="auto"/>
        <w:ind w:left="200" w:hanging="200"/>
        <w:pBdr>
          <w:left w:val="single" w:sz="16" w:space="8" w:color="E0E7EF"/>
        </w:pBdr>
      </w:pPr>
      <w:r>
        <w:rPr>
          <w:rFonts w:ascii="Calibri" w:hAnsi="Calibri" w:eastAsia="Microsoft YaHei"/>
          <w:b/>
          <w:color w:val="2E74B5"/>
          <w:sz w:val="21"/>
        </w:rPr>
        <w:t>开放回答完整度有限。</w:t>
      </w:r>
      <w:r>
        <w:rPr>
          <w:rFonts w:ascii="Calibri" w:hAnsi="Calibri" w:eastAsia="Microsoft YaHei"/>
          <w:b w:val="0"/>
          <w:color w:val="202D3A"/>
          <w:sz w:val="21"/>
        </w:rPr>
        <w:t>在20名核心有效用户中，仅11名至少填写了一个Q17开放字段，且部分回答存在信息不足或无法进一步判断的情况，因此开放文本主要用于解释和补充结构化问卷结果，不宜据此进行过度推断。</w:t>
      </w:r>
    </w:p>
    <w:p>
      <w:pPr>
        <w:keepLines/>
        <w:spacing w:before="0" w:after="140" w:line="276" w:lineRule="auto"/>
        <w:ind w:left="200" w:hanging="200"/>
        <w:pBdr>
          <w:left w:val="single" w:sz="16" w:space="8" w:color="E0E7EF"/>
        </w:pBdr>
      </w:pPr>
      <w:r>
        <w:rPr>
          <w:rFonts w:ascii="Calibri" w:hAnsi="Calibri" w:eastAsia="Microsoft YaHei"/>
          <w:b/>
          <w:color w:val="2E74B5"/>
          <w:sz w:val="21"/>
        </w:rPr>
        <w:t>公开案例不代表市场发生频率。</w:t>
      </w:r>
      <w:r>
        <w:rPr>
          <w:rFonts w:ascii="Calibri" w:hAnsi="Calibri" w:eastAsia="Microsoft YaHei"/>
          <w:b w:val="0"/>
          <w:color w:val="202D3A"/>
          <w:sz w:val="21"/>
        </w:rPr>
        <w:t>20条公开失败案例能够证明相关复现问题在真实公开场景中存在，并可用于分析问题类型及首版诊断范围，但这些案例并非随机抽样，因此案例中的某类占比只能解释为“本轮公开案例中的覆盖占比”，不能解释为所有复现用户遇到该问题的发生率。</w:t>
      </w:r>
    </w:p>
    <w:p>
      <w:pPr>
        <w:pStyle w:val="Heading1"/>
        <w:keepNext/>
        <w:spacing w:before="360" w:after="160"/>
      </w:pPr>
      <w:r>
        <w:rPr>
          <w:rFonts w:ascii="Calibri" w:hAnsi="Calibri" w:eastAsia="Microsoft YaHei"/>
          <w:b/>
          <w:i w:val="0"/>
          <w:color w:val="2E74B5"/>
          <w:sz w:val="32"/>
        </w:rPr>
        <w:t>4. 初步发现：H1 / H4 / H5 / H6</w:t>
      </w:r>
    </w:p>
    <w:p>
      <w:pPr>
        <w:pStyle w:val="Heading2"/>
        <w:keepNext/>
        <w:spacing w:before="40" w:after="140"/>
      </w:pPr>
      <w:r>
        <w:rPr>
          <w:rFonts w:ascii="Calibri" w:hAnsi="Calibri" w:eastAsia="Microsoft YaHei"/>
          <w:b/>
          <w:color w:val="2E74B5"/>
          <w:sz w:val="26"/>
        </w:rPr>
        <w:t>4.1 H1：复现问题是否具有前置核验价值</w:t>
      </w:r>
    </w:p>
    <w:p>
      <w:pPr>
        <w:keepLines/>
        <w:spacing w:before="0" w:after="120" w:line="276" w:lineRule="auto"/>
      </w:pPr>
      <w:r>
        <w:rPr>
          <w:rFonts w:ascii="Calibri" w:hAnsi="Calibri" w:eastAsia="Microsoft YaHei"/>
          <w:b w:val="0"/>
          <w:color w:val="202D3A"/>
          <w:sz w:val="21"/>
        </w:rPr>
        <w:t>H1关注的是：用户在论文或开源模型复现过程中，是否普遍存在原本能够在正式投入运行前核验、但实际往往在复现过程中才暴露的问题。研究开始前，H1的预设判定门槛为：不少于60%的有效样本遇到至少一项“投入运行后才发现但具有提前核验可能性”的问题，并存在具体案例支持。</w:t>
      </w:r>
    </w:p>
    <w:p>
      <w:pPr>
        <w:keepLines/>
        <w:spacing w:before="60" w:after="120" w:line="276" w:lineRule="auto"/>
      </w:pPr>
      <w:r>
        <w:rPr>
          <w:rFonts w:ascii="Calibri" w:hAnsi="Calibri" w:eastAsia="Microsoft YaHei"/>
          <w:b w:val="0"/>
          <w:color w:val="202D3A"/>
          <w:sz w:val="21"/>
        </w:rPr>
        <w:t>在20名核心有效用户中，19名至少报告了一项可在正式投入前核验的问题，占19/20（95.0%），高于预设的60%门槛。其中，较为突出的前置核验项包括依赖冲突11/20（55.0%）、资源不足11/20（55.0%）、预训练权重8/20（40.0%）、Python/CUDA/框架版本要求8/20（40.0%）以及数据访问7/20（35.0%）。这些问题大多涉及正式运行前能够通过仓库文档、环境信息、数据与权重可获得性以及计算资源要求进行检查的准备条件。</w:t>
      </w:r>
    </w:p>
    <w:p>
      <w:pPr>
        <w:keepLines/>
        <w:spacing w:before="60" w:after="120" w:line="276" w:lineRule="auto"/>
      </w:pPr>
      <w:r>
        <w:rPr>
          <w:rFonts w:ascii="Calibri" w:hAnsi="Calibri" w:eastAsia="Microsoft YaHei"/>
          <w:b w:val="0"/>
          <w:color w:val="202D3A"/>
          <w:sz w:val="21"/>
        </w:rPr>
        <w:t>开放回答进一步提供了具体卡点案例。S-011将“数据集获取”列为主要卡点，该问题发生在“下载与环境”阶段，并被编码为“可提前发现”；S-015将“数据集下载和预处理”列为主要卡点，同样发生在“下载与环境”阶段，但其可提前发现性被编码为“部分”。这些案例表明，部分数据相关阻塞并非只能在完整运行失败后才能被识别，而具有在正式执行前提前核验或至少部分识别的可能性。</w:t>
      </w:r>
    </w:p>
    <w:p>
      <w:pPr>
        <w:keepLines/>
        <w:spacing w:before="60" w:after="120" w:line="276" w:lineRule="auto"/>
      </w:pPr>
      <w:r>
        <w:rPr>
          <w:rFonts w:ascii="Calibri" w:hAnsi="Calibri" w:eastAsia="Microsoft YaHei"/>
          <w:b w:val="0"/>
          <w:color w:val="202D3A"/>
          <w:sz w:val="21"/>
        </w:rPr>
        <w:t>公开失败案例也提供了外部佐证。在20条经审计的有效公开案例中，13条（65.0%）被编码为“可提前发现”，7条（35.0%）被编码为“部分可提前发现”，未出现明确编码为“不可提前发现”的案例。需要注意的是，这里的20条为公开案例而非20名用户，因此该比例仅表示本轮公开案例中的可提前发现性分布，不能解释为用户问题的市场发生率。</w:t>
      </w:r>
    </w:p>
    <w:p>
      <w:pPr>
        <w:keepLines/>
        <w:spacing w:before="60" w:after="120" w:line="276" w:lineRule="auto"/>
      </w:pPr>
      <w:r>
        <w:rPr>
          <w:rFonts w:ascii="Calibri" w:hAnsi="Calibri" w:eastAsia="Microsoft YaHei"/>
          <w:b w:val="0"/>
          <w:color w:val="202D3A"/>
          <w:sz w:val="21"/>
        </w:rPr>
        <w:t>同时，开放文本中仍存在无法明确判断可提前发现性的记录，部分问题也只能被编码为“部分可提前发现”。因此，前置核验并不能覆盖或避免所有论文复现阻塞，其价值更可能体现在尽可能提前暴露部分高成本、可检查的失败条件，而不是保证复现过程不再出现问题。</w:t>
      </w:r>
    </w:p>
    <w:p>
      <w:pPr>
        <w:keepLines/>
        <w:spacing w:before="60" w:after="240" w:line="276" w:lineRule="auto"/>
        <w:pBdr>
          <w:left w:val="single" w:sz="20" w:space="8" w:color="9BC2E6"/>
        </w:pBdr>
      </w:pPr>
      <w:r>
        <w:rPr>
          <w:rFonts w:ascii="Calibri" w:hAnsi="Calibri" w:eastAsia="Microsoft YaHei"/>
          <w:b/>
          <w:color w:val="2E74B5"/>
          <w:sz w:val="21"/>
        </w:rPr>
        <w:t>当前判断：初步支持。</w:t>
      </w:r>
      <w:r>
        <w:rPr>
          <w:rFonts w:ascii="Calibri" w:hAnsi="Calibri" w:eastAsia="Microsoft YaHei"/>
          <w:b w:val="0"/>
          <w:color w:val="202D3A"/>
          <w:sz w:val="21"/>
        </w:rPr>
        <w:t>问卷侧结果超过预设门槛，开放回答提供了具体且可追溯的卡点案例，公开失败案例也形成了外部佐证，同时仍保留反例、部分可提前发现和无法判断的情况。综合来看，当前证据初步支持“部分复现阻塞具有前置核验价值”这一判断，但尚不能证明所有复现问题均可通过前置检查避免，也不能据此证明ResearchOps的准备度检查功能本身已经有效。</w:t>
      </w:r>
    </w:p>
    <w:p>
      <w:pPr>
        <w:pStyle w:val="Heading2"/>
        <w:keepNext/>
        <w:spacing w:before="280" w:after="140"/>
      </w:pPr>
      <w:r>
        <w:rPr>
          <w:rFonts w:ascii="Calibri" w:hAnsi="Calibri" w:eastAsia="Microsoft YaHei"/>
          <w:b/>
          <w:color w:val="2E74B5"/>
          <w:sz w:val="26"/>
        </w:rPr>
        <w:t>4.2 H4：用户对AI执行权限是否存在明确的风险边界</w:t>
      </w:r>
    </w:p>
    <w:p>
      <w:pPr>
        <w:keepLines/>
        <w:spacing w:before="0" w:after="120" w:line="276" w:lineRule="auto"/>
      </w:pPr>
      <w:r>
        <w:rPr>
          <w:rFonts w:ascii="Calibri" w:hAnsi="Calibri" w:eastAsia="Microsoft YaHei"/>
          <w:b w:val="0"/>
          <w:color w:val="202D3A"/>
          <w:sz w:val="21"/>
        </w:rPr>
        <w:t>H4关注的是：用户是否会根据操作风险的不同，对AI助手赋予不同程度的执行权限，即对于低风险、可逆操作更愿意允许直接执行，而对于可能修改、覆盖或删除已有内容的高风险操作，更倾向于要求人工确认。研究开始前，H4的预设判断标准为：对于安装依赖、覆盖文件和删除文件等高风险操作，至少70%的有效用户不接受AI在未经确认的情况下直接执行。</w:t>
      </w:r>
    </w:p>
    <w:p>
      <w:pPr>
        <w:keepLines/>
        <w:spacing w:before="0" w:after="120" w:line="276" w:lineRule="auto"/>
      </w:pPr>
      <w:r>
        <w:rPr>
          <w:rFonts w:ascii="Calibri" w:hAnsi="Calibri" w:eastAsia="Microsoft YaHei"/>
          <w:b w:val="0"/>
          <w:color w:val="202D3A"/>
          <w:sz w:val="21"/>
        </w:rPr>
        <w:t>在20名核心有效用户中，不同操作表现出了明显不同的权限偏好。对于读取文件，5/20（25.0%）的用户要求确认、逐步审批或完全禁止直接执行；对于安装依赖，同样只有5/20（25.0%）不接受直接执行。随着操作对已有项目状态的影响增加，用户的谨慎程度明显上升：修改配置时，14/20（70.0%）不接受直接执行；覆盖已有文件时，该比例上升至17/20（85.0%）；删除文件时达到18/20（90.0%）。对于直接运行任务，也有10/20（50.0%）的用户要求不同程度的人工确认。</w:t>
      </w:r>
    </w:p>
    <w:p>
      <w:pPr>
        <w:keepLines/>
        <w:spacing w:before="0" w:after="120" w:line="276" w:lineRule="auto"/>
      </w:pPr>
      <w:r>
        <w:rPr>
          <w:rFonts w:ascii="Calibri" w:hAnsi="Calibri" w:eastAsia="Microsoft YaHei"/>
          <w:b w:val="0"/>
          <w:color w:val="202D3A"/>
          <w:sz w:val="21"/>
        </w:rPr>
        <w:t>这一结果显示，用户并非简单地“愿意”或“不愿意”让AI执行操作，而是会根据操作的可逆性和潜在损失形成分层的权限边界。尤其是在覆盖和删除已有内容时，大多数用户表现出了明显的审批需求；修改配置也刚好达到70%的谨慎比例。相比之下，安装依赖的不直接执行比例仅为25.0%，明显低于H4预设的70%门槛，说明用户并未将所有具有系统影响的操作都视为同一级别的高风险行为。</w:t>
      </w:r>
    </w:p>
    <w:p>
      <w:pPr>
        <w:keepLines/>
        <w:spacing w:before="0" w:after="120" w:line="276" w:lineRule="auto"/>
      </w:pPr>
      <w:r>
        <w:rPr>
          <w:rFonts w:ascii="Calibri" w:hAnsi="Calibri" w:eastAsia="Microsoft YaHei"/>
          <w:b w:val="0"/>
          <w:color w:val="202D3A"/>
          <w:sz w:val="21"/>
        </w:rPr>
        <w:t>因此，本轮结果不支持将“安装依赖、覆盖文件、删除文件”统一视为用户需要强制审批的同一类高风险操作。更合理的解释是，用户对AI执行权限存在风险敏感性，但不同操作对应的风险感知并不一致。覆盖和删除已有内容构成了较明确的人工确认边界，而安装依赖、运行任务等操作的权限偏好更加分化。这意味着后续产品设计不宜采用简单的“全部自动执行”或“全部逐步确认”模式，而应根据操作类型、可逆性及潜在影响设置不同级别的审批机制。</w:t>
      </w:r>
    </w:p>
    <w:p>
      <w:pPr>
        <w:keepLines/>
        <w:spacing w:before="0" w:after="120" w:line="276" w:lineRule="auto"/>
      </w:pPr>
      <w:r>
        <w:rPr>
          <w:rFonts w:ascii="Calibri" w:hAnsi="Calibri" w:eastAsia="Microsoft YaHei"/>
          <w:b w:val="0"/>
          <w:color w:val="202D3A"/>
          <w:sz w:val="21"/>
        </w:rPr>
        <w:t>需要注意的是，本轮开放回答中没有直接讨论AI执行权限或审批机制的文本证据，因此H4目前主要由结构化问卷结果支持，缺少用户对“为什么某类操作需要确认”的定性解释。同时，问卷测量的是用户表达的权限偏好，而非其在真实产品环境中的实际授权行为，后续仍需要通过原型任务观察用户在实际执行场景中的确认、拒绝和授权行为。</w:t>
      </w:r>
    </w:p>
    <w:p>
      <w:pPr>
        <w:keepLines/>
        <w:spacing w:before="60" w:after="240" w:line="276" w:lineRule="auto"/>
        <w:pBdr>
          <w:left w:val="single" w:sz="20" w:space="8" w:color="9BC2E6"/>
        </w:pBdr>
      </w:pPr>
      <w:r>
        <w:rPr>
          <w:rFonts w:ascii="Calibri" w:hAnsi="Calibri" w:eastAsia="Microsoft YaHei"/>
          <w:b/>
          <w:color w:val="2E74B5"/>
          <w:sz w:val="21"/>
        </w:rPr>
        <w:t>当前判断：部分支持 / 证据不足。</w:t>
      </w:r>
      <w:r>
        <w:rPr>
          <w:rFonts w:ascii="Calibri" w:hAnsi="Calibri" w:eastAsia="Microsoft YaHei"/>
          <w:b w:val="0"/>
          <w:color w:val="202D3A"/>
          <w:sz w:val="21"/>
        </w:rPr>
        <w:t>覆盖文件17/20（85.0%）和删除文件18/20（90.0%）均超过预设70%的门槛，表明对于高不可逆性操作存在较清晰的人工确认需求；但安装依赖仅为5/20（25.0%），未达到预设门槛。因此，当前证据支持“用户对AI执行权限存在风险分层边界”，但不支持原H4中所有预设高风险操作均需要同等强度审批的判断。后续应进一步验证不同操作的风险分级，并通过真实产品交互确认用户的实际授权行为。</w:t>
      </w:r>
    </w:p>
    <w:p>
      <w:pPr>
        <w:pStyle w:val="Heading2"/>
        <w:keepNext/>
        <w:spacing w:before="280" w:after="140"/>
      </w:pPr>
      <w:r>
        <w:rPr>
          <w:rFonts w:ascii="Calibri" w:hAnsi="Calibri" w:eastAsia="Microsoft YaHei"/>
          <w:b/>
          <w:color w:val="2E74B5"/>
          <w:sz w:val="26"/>
        </w:rPr>
        <w:t>4.3 H5：首版三类诊断范围是否能够覆盖主要复现失败类型</w:t>
      </w:r>
    </w:p>
    <w:p>
      <w:pPr>
        <w:keepLines/>
        <w:spacing w:before="0" w:after="120" w:line="276" w:lineRule="auto"/>
      </w:pPr>
      <w:r>
        <w:rPr>
          <w:rFonts w:ascii="Calibri" w:hAnsi="Calibri" w:eastAsia="Microsoft YaHei"/>
          <w:b w:val="0"/>
          <w:color w:val="202D3A"/>
          <w:sz w:val="21"/>
        </w:rPr>
        <w:t>H5关注的是：ResearchOps首版计划采用的三类核心诊断——环境、路径/数据、checkpoint/配置——是否能够覆盖公开复现失败案例中的主要问题类型。研究开始前，H5的预设判断门槛为：三类诊断能够去重覆盖不少于70%的有效公开失败案例。该指标用于判断首版诊断范围是否具有足够的场景覆盖价值，而不用于评价实际产品的诊断准确率或问题解决成功率。</w:t>
      </w:r>
    </w:p>
    <w:p>
      <w:pPr>
        <w:keepLines/>
        <w:spacing w:before="0" w:after="120" w:line="276" w:lineRule="auto"/>
      </w:pPr>
      <w:r>
        <w:rPr>
          <w:rFonts w:ascii="Calibri" w:hAnsi="Calibri" w:eastAsia="Microsoft YaHei"/>
          <w:b w:val="0"/>
          <w:color w:val="202D3A"/>
          <w:sz w:val="21"/>
        </w:rPr>
        <w:t>本轮共纳入20条经完整性审计后保留的有效公开失败案例，记为N_case = 20。按照统一案例编码结果，其中6/20（30.0%）可由“环境”诊断承接，8/20（40.0%）可由“路径/数据”诊断承接，4/20（20.0%）可由“checkpoint/配置”诊断承接。由于每条案例仅分配一个主要诊断覆盖类别，三类合计去重覆盖18/20（90.0%）的有效案例，高于预设的70%门槛。</w:t>
      </w:r>
    </w:p>
    <w:p>
      <w:pPr>
        <w:keepLines/>
        <w:spacing w:before="0" w:after="120" w:line="276" w:lineRule="auto"/>
      </w:pPr>
      <w:r>
        <w:rPr>
          <w:rFonts w:ascii="Calibri" w:hAnsi="Calibri" w:eastAsia="Microsoft YaHei"/>
          <w:b w:val="0"/>
          <w:color w:val="202D3A"/>
          <w:sz w:val="21"/>
        </w:rPr>
        <w:t>从具体问题分布来看，公开案例中的主要失败原因集中于环境依赖、路径与数据以及checkpoint与配置相关问题，这与首版诊断范围具有较高重合度。需要注意的是，“问题类别”和“三类诊断覆盖”并不是完全相同的字段：前者用于描述案例主要根因，后者用于判断首版诊断模块是否能够承接该案例。因此，部分案例即使其根因没有直接编码为“路径与数据”，仍可能通过路径/数据类检查被发现。本轮C-002和C-008即属于这种情况，相关跨类别覆盖均已保留明确的编码依据，而非为了提高覆盖率进行强制归类。</w:t>
      </w:r>
    </w:p>
    <w:p>
      <w:pPr>
        <w:keepLines/>
        <w:spacing w:before="0" w:after="120" w:line="276" w:lineRule="auto"/>
      </w:pPr>
      <w:r>
        <w:rPr>
          <w:rFonts w:ascii="Calibri" w:hAnsi="Calibri" w:eastAsia="Microsoft YaHei"/>
          <w:b w:val="0"/>
          <w:color w:val="202D3A"/>
          <w:sz w:val="21"/>
        </w:rPr>
        <w:t>仍有2/20（10.0%）的有效公开案例未被首版三类诊断覆盖，分别为C-004和C-009，两者均主要涉及算力问题。这说明首版三类诊断虽然能够覆盖本轮大多数公开失败案例，但并不能涵盖全部复现阻塞。当前仅有2条算力类未覆盖案例，尚不足以支持立即将“算力诊断”提升为首版第四类核心诊断，更适合作为首版能力边界予以保留，并在后续真实任务和新增案例中继续观察其出现频率及影响程度。</w:t>
      </w:r>
    </w:p>
    <w:p>
      <w:pPr>
        <w:keepLines/>
        <w:spacing w:before="0" w:after="120" w:line="276" w:lineRule="auto"/>
      </w:pPr>
      <w:r>
        <w:rPr>
          <w:rFonts w:ascii="Calibri" w:hAnsi="Calibri" w:eastAsia="Microsoft YaHei"/>
          <w:b w:val="0"/>
          <w:color w:val="202D3A"/>
          <w:sz w:val="21"/>
        </w:rPr>
        <w:t>同时，本轮公开案例中的18/20（90.0%）只能解释为案例覆盖率。它说明：如果ResearchOps首版具有环境、路径/数据和checkpoint/配置三类检查能力，那么从问题类型上看，理论上能够承接本轮20条公开案例中的18条。但当前尚未构建并运行真实诊断产品，因此无法据此说明系统能够正确识别18条案例，更不能将90.0%解释为诊断准确率、召回率或问题解决率。第五天的H5分析本身也要求将公开案例覆盖与真实产品效果严格区分。</w:t>
      </w:r>
    </w:p>
    <w:p>
      <w:pPr>
        <w:keepLines/>
        <w:spacing w:before="60" w:after="240" w:line="276" w:lineRule="auto"/>
        <w:pBdr>
          <w:left w:val="single" w:sz="20" w:space="8" w:color="9BC2E6"/>
        </w:pBdr>
      </w:pPr>
      <w:r>
        <w:rPr>
          <w:rFonts w:ascii="Calibri" w:hAnsi="Calibri" w:eastAsia="Microsoft YaHei"/>
          <w:b/>
          <w:color w:val="2E74B5"/>
          <w:sz w:val="21"/>
        </w:rPr>
        <w:t>当前判断：初步支持。</w:t>
      </w:r>
      <w:r>
        <w:rPr>
          <w:rFonts w:ascii="Calibri" w:hAnsi="Calibri" w:eastAsia="Microsoft YaHei"/>
          <w:b w:val="0"/>
          <w:color w:val="202D3A"/>
          <w:sz w:val="21"/>
        </w:rPr>
        <w:t>首版环境、路径/数据和checkpoint/配置三类诊断对本轮有效公开失败案例的去重覆盖达到18/20（90.0%），明显超过预设的70%门槛，说明三类诊断作为MVP初始问题范围具有较好的案例覆盖基础。与此同时，算力类问题仍构成明确的未覆盖边界。因此，当前证据支持继续以三类诊断作为首版核心范围，而暂不因少量边界案例扩展第四类诊断。下一阶段应通过真实诊断原型验证三类问题能否被系统正确识别，并持续观察算力类问题是否达到值得进入核心范围的频率和严重程度。</w:t>
      </w:r>
    </w:p>
    <w:p>
      <w:pPr>
        <w:pStyle w:val="Heading2"/>
        <w:keepNext/>
        <w:spacing w:before="280" w:after="140"/>
      </w:pPr>
      <w:r>
        <w:rPr>
          <w:rFonts w:ascii="Calibri" w:hAnsi="Calibri" w:eastAsia="Microsoft YaHei"/>
          <w:b/>
          <w:color w:val="2E74B5"/>
          <w:sz w:val="26"/>
        </w:rPr>
        <w:t>4.4 H6：研究结果是否存在明确的轻协作与分享价值</w:t>
      </w:r>
    </w:p>
    <w:p>
      <w:pPr>
        <w:keepLines/>
        <w:spacing w:before="0" w:after="120" w:line="276" w:lineRule="auto"/>
      </w:pPr>
      <w:r>
        <w:rPr>
          <w:rFonts w:ascii="Calibri" w:hAnsi="Calibri" w:eastAsia="Microsoft YaHei"/>
          <w:b w:val="0"/>
          <w:color w:val="202D3A"/>
          <w:sz w:val="21"/>
        </w:rPr>
        <w:t>H6关注的是：用户在完成论文或开源模型复现后，是否存在将复现过程、结果或判断结论分享给他人的明确需求，从而判断ResearchOps是否有必要在首版或后续版本中提供轻量级的结果分享与协作能力。研究开始前，H6的预设判断门槛为：不少于40%的有效样本能够指出明确的外部分享对象。该假设主要用于判断“轻协作”是否具有潜在产品价值，而不是验证完整团队协作平台的必要性。</w:t>
      </w:r>
    </w:p>
    <w:p>
      <w:pPr>
        <w:keepLines/>
        <w:spacing w:before="0" w:after="120" w:line="276" w:lineRule="auto"/>
      </w:pPr>
      <w:r>
        <w:rPr>
          <w:rFonts w:ascii="Calibri" w:hAnsi="Calibri" w:eastAsia="Microsoft YaHei"/>
          <w:b w:val="0"/>
          <w:color w:val="202D3A"/>
          <w:sz w:val="21"/>
        </w:rPr>
        <w:t>在20名核心有效用户中，18名能够指出至少一个明确的外部分享对象，占18/20（90.0%），明显高于预设的40%门槛。从具体对象来看，18/20（90.0%）选择了导师，10/20（50.0%）选择了团队成员，8/20（40.0%）选择了同学或同事；另有3/20（15.0%）表示结果主要供自己后续使用，1/20（5.0%）明确表示不会使用或分享。由于该题允许多选，各对象比例用于描述分享对象结构，不应相加解释为总体比例。</w:t>
      </w:r>
    </w:p>
    <w:p>
      <w:pPr>
        <w:keepLines/>
        <w:spacing w:before="0" w:after="120" w:line="276" w:lineRule="auto"/>
      </w:pPr>
      <w:r>
        <w:rPr>
          <w:rFonts w:ascii="Calibri" w:hAnsi="Calibri" w:eastAsia="Microsoft YaHei"/>
          <w:b w:val="0"/>
          <w:color w:val="202D3A"/>
          <w:sz w:val="21"/>
        </w:rPr>
        <w:t>这一结果说明，在本轮以科研型用户为主的样本中，复现结果并非完全属于个人一次性消费的信息。尤其是导师、团队成员和同学或同事等对象的出现，意味着用户完成复现判断后，往往还存在向他人说明“是否值得复现、遇到了什么问题、当前结果如何”的潜在信息传递需求。因此，ResearchOps的产出如果仅停留在用户个人查看，可能无法完整覆盖部分科研场景中的后续使用链路。</w:t>
      </w:r>
    </w:p>
    <w:p>
      <w:pPr>
        <w:keepLines/>
        <w:spacing w:before="0" w:after="120" w:line="276" w:lineRule="auto"/>
      </w:pPr>
      <w:r>
        <w:rPr>
          <w:rFonts w:ascii="Calibri" w:hAnsi="Calibri" w:eastAsia="Microsoft YaHei"/>
          <w:b w:val="0"/>
          <w:color w:val="202D3A"/>
          <w:sz w:val="21"/>
        </w:rPr>
        <w:t>但需要特别注意，本轮问卷测量的是用户能够指出谁可能成为分享对象，并没有直接观察到用户实际进行了分享、转发、评论或协作操作。Q17开放回答中也没有出现能够直接补充H6的协作行为证据。因此，18/20（90.0%）不能解释为“90%的用户一定会使用分享功能”，更不能据此证明多人协作、任务分配、评论系统或团队空间等复杂协作能力属于MVP的核心需求。</w:t>
      </w:r>
    </w:p>
    <w:p>
      <w:pPr>
        <w:keepLines/>
        <w:spacing w:before="0" w:after="120" w:line="276" w:lineRule="auto"/>
      </w:pPr>
      <w:r>
        <w:rPr>
          <w:rFonts w:ascii="Calibri" w:hAnsi="Calibri" w:eastAsia="Microsoft YaHei"/>
          <w:b w:val="0"/>
          <w:color w:val="202D3A"/>
          <w:sz w:val="21"/>
        </w:rPr>
        <w:t>同时，1名用户明确表示不会使用或分享，另有部分用户主要将结果用于个人后续使用。这些反例说明，复现报告仍具有明显的个人决策价值，协作并不是所有用户的必要路径。结合当前证据，更合理的产品解释是：结果分享可能具有较强的次级价值，但尚无证据支持将复杂协作能力提升为首版P0功能。首版若承载协作价值，更适合优先验证低成本、可逆的轻量能力，例如结构化结果导出、生成可分享摘要或复制报告，而不是直接建设完整的多人协作系统。</w:t>
      </w:r>
    </w:p>
    <w:p>
      <w:pPr>
        <w:keepLines/>
        <w:spacing w:before="60" w:after="240" w:line="276" w:lineRule="auto"/>
        <w:pBdr>
          <w:left w:val="single" w:sz="20" w:space="8" w:color="9BC2E6"/>
        </w:pBdr>
      </w:pPr>
      <w:r>
        <w:rPr>
          <w:rFonts w:ascii="Calibri" w:hAnsi="Calibri" w:eastAsia="Microsoft YaHei"/>
          <w:b/>
          <w:color w:val="2E74B5"/>
          <w:sz w:val="21"/>
        </w:rPr>
        <w:t>当前判断：初步支持。</w:t>
      </w:r>
      <w:r>
        <w:rPr>
          <w:rFonts w:ascii="Calibri" w:hAnsi="Calibri" w:eastAsia="Microsoft YaHei"/>
          <w:b w:val="0"/>
          <w:color w:val="202D3A"/>
          <w:sz w:val="21"/>
        </w:rPr>
        <w:t>18/20（90.0%）的核心有效用户能够指出明确的外部分享对象，显著超过预设40%的门槛，说明当前样本中存在较明确的轻协作潜在价值；但目前证据仍停留在用户自陈的分享对象和使用意愿层面，缺少真实分享行为支持。因此，H6可以作为后续轻协作设计的初步依据，但不足以证明协作功能已经被行为验证，也不足以将复杂团队协作能力确定为MVP的P0需求。下一阶段应至少观察真实用户是否愿意将ResearchOps生成的结果实际发送给导师、同事或团队成员，并记录分享后的后续行为与反馈。</w:t>
      </w:r>
    </w:p>
    <w:p>
      <w:pPr>
        <w:pStyle w:val="Heading1"/>
        <w:keepNext/>
        <w:spacing w:before="360" w:after="160"/>
      </w:pPr>
      <w:r>
        <w:rPr>
          <w:rFonts w:ascii="Calibri" w:hAnsi="Calibri" w:eastAsia="Microsoft YaHei"/>
          <w:b/>
          <w:i w:val="0"/>
          <w:color w:val="2E74B5"/>
          <w:sz w:val="32"/>
        </w:rPr>
        <w:t>5. 反例、冲突与不确定项</w:t>
      </w:r>
    </w:p>
    <w:p>
      <w:pPr>
        <w:keepLines/>
        <w:spacing w:before="0" w:after="160" w:line="276" w:lineRule="auto"/>
      </w:pPr>
      <w:r>
        <w:rPr>
          <w:rFonts w:ascii="Calibri" w:hAnsi="Calibri" w:eastAsia="Microsoft YaHei"/>
          <w:b w:val="0"/>
          <w:color w:val="202D3A"/>
          <w:sz w:val="21"/>
        </w:rPr>
        <w:t>本轮研究中仍存在若干反例、冲突与信息不足情况。H1方面，开放文本中仍有部分记录无法明确判断问题主题或可提前发现性，且存在用户未提出提前信息需求的情况，说明并非所有复现问题都适合通过前置核验解决。H4方面，覆盖文件和删除文件的不直接执行比例分别为17/20（85.0%）和18/20（90.0%），但安装依赖仅为5/20（25.0%），表明用户对不同操作的风险感知存在明显差异，不能采用统一审批边界。H5中仍有2/20（10.0%）的算力类公开案例未被首版三类诊断覆盖。H6方面，虽然18/20（90.0%）能够指出明确分享对象，但目前缺乏真实分享行为和开放文本直接证据，且存在不分享的反例。</w:t>
      </w:r>
    </w:p>
    <w:p>
      <w:pPr>
        <w:keepLines/>
        <w:spacing w:before="60" w:after="280" w:line="276" w:lineRule="auto"/>
        <w:pBdr>
          <w:left w:val="single" w:sz="20" w:space="8" w:color="9BC2E6"/>
        </w:pBdr>
      </w:pPr>
      <w:r>
        <w:rPr>
          <w:rFonts w:ascii="Calibri" w:hAnsi="Calibri" w:eastAsia="Microsoft YaHei"/>
          <w:b w:val="0"/>
          <w:color w:val="202D3A"/>
          <w:sz w:val="21"/>
        </w:rPr>
        <w:t>总体而言，这些反例和不确定项并未否定当前产品方向，但限制了结论的适用范围。现阶段应将H1、H5和H6视为“初步支持”，将H4视为“部分支持/证据不足”，并在后续真实产品测试中重点验证前置核验效果、操作审批边界、未覆盖诊断类型以及实际分享行为。</w:t>
      </w:r>
    </w:p>
    <w:p>
      <w:pPr>
        <w:pStyle w:val="Heading1"/>
        <w:keepNext/>
        <w:spacing w:before="360" w:after="160"/>
      </w:pPr>
      <w:r>
        <w:rPr>
          <w:rFonts w:ascii="Calibri" w:hAnsi="Calibri" w:eastAsia="Microsoft YaHei"/>
          <w:b/>
          <w:i w:val="0"/>
          <w:color w:val="2E74B5"/>
          <w:sz w:val="32"/>
        </w:rPr>
        <w:t>6. 多源证据交叉验证</w:t>
      </w:r>
    </w:p>
    <w:p>
      <w:pPr>
        <w:keepLines/>
        <w:spacing w:before="0" w:after="140" w:line="276" w:lineRule="auto"/>
      </w:pPr>
      <w:r>
        <w:rPr>
          <w:rFonts w:ascii="Calibri" w:hAnsi="Calibri" w:eastAsia="Microsoft YaHei"/>
          <w:b w:val="0"/>
          <w:color w:val="202D3A"/>
          <w:sz w:val="21"/>
        </w:rPr>
        <w:t>本轮研究采用结构化问卷、开放回答、公开失败案例和FGI创始用户复现案例形成多源证据链。不同证据承担的作用并不相同：结构化问卷用于观察当前样本中问题、偏好和权限边界的分布；开放回答用于补充具体卡点、处理方式及提前信息需求；公开失败案例用于确认相关问题并非只存在于当前问卷样本中，并检验首版诊断范围的案例覆盖情况；FGI复现案例则提供完整、可追溯的实际复现过程证据，但不用于推断用户频率。</w:t>
      </w:r>
    </w:p>
    <w:p>
      <w:pPr>
        <w:keepLines/>
        <w:spacing w:before="60" w:after="140" w:line="276" w:lineRule="auto"/>
      </w:pPr>
      <w:r>
        <w:rPr>
          <w:rFonts w:ascii="Calibri" w:hAnsi="Calibri" w:eastAsia="Microsoft YaHei"/>
          <w:b w:val="0"/>
          <w:color w:val="202D3A"/>
          <w:sz w:val="21"/>
        </w:rPr>
        <w:t>从现有结果看，多类证据在“复现前置判断具有价值”这一方向上形成了一定程度的相互印证：问卷中多数用户报告了可提前核验的问题，开放回答出现了数据获取、下载和预处理等具体卡点，公开案例中也存在大量可提前或部分提前发现的问题。同时，不同来源也暴露出证据边界，例如H4主要依赖结构化问卷、H6缺少真实分享行为证据，说明当前结论仍不能仅凭多源一致性视为产品已经得到验证。</w:t>
      </w:r>
    </w:p>
    <w:p>
      <w:pPr>
        <w:keepLines/>
        <w:spacing w:before="60" w:after="280" w:line="276" w:lineRule="auto"/>
        <w:pBdr>
          <w:left w:val="single" w:sz="20" w:space="8" w:color="9BC2E6"/>
        </w:pBdr>
      </w:pPr>
      <w:r>
        <w:rPr>
          <w:rFonts w:ascii="Calibri" w:hAnsi="Calibri" w:eastAsia="Microsoft YaHei"/>
          <w:b w:val="0"/>
          <w:color w:val="202D3A"/>
          <w:sz w:val="21"/>
        </w:rPr>
        <w:t>因此，本轮多源证据的价值主要在于提高问题判断的可信度并识别证据缺口，而不是简单叠加不同来源的比例。问卷用户比例、公开案例覆盖率和单个FGI过程案例应继续保持独立解释，避免混合为统一“支持率”。这也符合当前证据矩阵要求把不同来源、反例和下一步分别记录。</w:t>
      </w:r>
    </w:p>
    <w:p>
      <w:pPr>
        <w:pStyle w:val="Heading1"/>
        <w:keepNext/>
        <w:spacing w:before="360" w:after="160"/>
      </w:pPr>
      <w:r>
        <w:rPr>
          <w:rFonts w:ascii="Calibri" w:hAnsi="Calibri" w:eastAsia="Microsoft YaHei"/>
          <w:b/>
          <w:i w:val="0"/>
          <w:color w:val="2E74B5"/>
          <w:sz w:val="32"/>
        </w:rPr>
        <w:t>7. 当前产品含义（暂定）</w:t>
      </w:r>
    </w:p>
    <w:p>
      <w:pPr>
        <w:keepLines/>
        <w:spacing w:before="0" w:after="140" w:line="276" w:lineRule="auto"/>
      </w:pPr>
      <w:r>
        <w:rPr>
          <w:rFonts w:ascii="Calibri" w:hAnsi="Calibri" w:eastAsia="Microsoft YaHei"/>
          <w:b w:val="0"/>
          <w:color w:val="202D3A"/>
          <w:sz w:val="21"/>
        </w:rPr>
        <w:t>现有证据初步支持ResearchOps继续围绕“复现前判断 + 关键阻塞诊断”构建首版核心价值。H1显示，部分高成本复现问题具有前置核验价值；同时，用户优先希望提前确认的信息主要集中在数据集可获得性、预训练权重、Python/CUDA/框架版本以及计算资源等方面。因此，MVP应优先验证一种结构化的“复现准备度检查”能力，在用户正式投入运行前集中暴露关键前置条件，而不是直接承诺帮助用户完成全部复现流程。</w:t>
      </w:r>
    </w:p>
    <w:p>
      <w:pPr>
        <w:keepLines/>
        <w:spacing w:before="60" w:after="140" w:line="276" w:lineRule="auto"/>
      </w:pPr>
      <w:r>
        <w:rPr>
          <w:rFonts w:ascii="Calibri" w:hAnsi="Calibri" w:eastAsia="Microsoft YaHei"/>
          <w:b w:val="0"/>
          <w:color w:val="202D3A"/>
          <w:sz w:val="21"/>
        </w:rPr>
        <w:t>在问题诊断范围上，公开案例显示“环境、路径/数据、checkpoint/配置”三类能够覆盖18/20（90.0%）的有效案例，因此现阶段可以继续将这三类作为MVP的核心诊断范围。算力问题目前构成明确的未覆盖边界，但证据数量尚不足以立即新增第四类核心诊断，后续可继续观察其出现频率和严重程度。需要强调的是，这里的90.0%仅支持首版问题范围选择，不代表真实产品具有90.0%的诊断准确率。</w:t>
      </w:r>
    </w:p>
    <w:p>
      <w:pPr>
        <w:keepLines/>
        <w:spacing w:before="60" w:after="140" w:line="276" w:lineRule="auto"/>
      </w:pPr>
      <w:r>
        <w:rPr>
          <w:rFonts w:ascii="Calibri" w:hAnsi="Calibri" w:eastAsia="Microsoft YaHei"/>
          <w:b w:val="0"/>
          <w:color w:val="202D3A"/>
          <w:sz w:val="21"/>
        </w:rPr>
        <w:t>执行权限方面，不宜采用统一的“全部自动执行”或“全部人工确认”策略。用户对于覆盖文件和删除文件表现出较强的审批需求，而对安装依赖、运行任务等操作的态度更加分化。因此，后续Agent执行设计更适合采用按风险分级的审批机制：对于不可逆或可能破坏已有工作成果的操作优先要求人工确认，而低风险、可恢复操作可以进一步测试更高程度的自动化。</w:t>
      </w:r>
    </w:p>
    <w:p>
      <w:pPr>
        <w:keepLines/>
        <w:spacing w:before="60" w:after="140" w:line="276" w:lineRule="auto"/>
      </w:pPr>
      <w:r>
        <w:rPr>
          <w:rFonts w:ascii="Calibri" w:hAnsi="Calibri" w:eastAsia="Microsoft YaHei"/>
          <w:b w:val="0"/>
          <w:color w:val="202D3A"/>
          <w:sz w:val="21"/>
        </w:rPr>
        <w:t>协作能力暂不建议进入MVP核心范围。虽然18/20（90.0%）的用户能够指出明确分享对象，但目前缺少真实分享行为证据。因此，首版可优先考虑报告导出、结果摘要或可分享链接等低成本轻协作能力，而暂不建设评论、多人任务分配、团队空间等复杂协作系统。</w:t>
      </w:r>
    </w:p>
    <w:p>
      <w:pPr>
        <w:keepLines/>
        <w:spacing w:before="60" w:after="280" w:line="276" w:lineRule="auto"/>
        <w:pBdr>
          <w:left w:val="single" w:sz="20" w:space="8" w:color="9BC2E6"/>
        </w:pBdr>
      </w:pPr>
      <w:r>
        <w:rPr>
          <w:rFonts w:ascii="Calibri" w:hAnsi="Calibri" w:eastAsia="Microsoft YaHei"/>
          <w:b w:val="0"/>
          <w:color w:val="202D3A"/>
          <w:sz w:val="21"/>
        </w:rPr>
        <w:t>综合来看，当前更适合将ResearchOps首版定位为：帮助用户在正式投入论文或开源模型复现前判断“能不能做、准备是否充分”，并在执行过程中优先诊断少数高频关键阻塞，而不是替用户自动完成整个复现流程。上述产品含义均属于当前研究证据基础上的暂定推断，后续仍需通过真实原型测试验证准备度检查是否真正降低判断成本、三类诊断是否能够正确识别问题，以及分级审批和轻量分享是否符合用户实际行为。</w:t>
      </w:r>
    </w:p>
    <w:p>
      <w:pPr>
        <w:pStyle w:val="Heading1"/>
        <w:keepNext/>
        <w:spacing w:before="240" w:after="120"/>
      </w:pPr>
      <w:r>
        <w:rPr>
          <w:rFonts w:ascii="Calibri" w:hAnsi="Calibri" w:eastAsia="Microsoft YaHei"/>
          <w:b/>
          <w:i w:val="0"/>
          <w:color w:val="2E74B5"/>
          <w:sz w:val="32"/>
        </w:rPr>
        <w:t>8. Gate 1 待决问题</w:t>
      </w:r>
    </w:p>
    <w:p>
      <w:pPr>
        <w:keepLines/>
        <w:spacing w:before="0" w:after="100" w:line="240" w:lineRule="auto"/>
      </w:pPr>
      <w:r>
        <w:rPr>
          <w:rFonts w:ascii="Calibri" w:hAnsi="Calibri" w:eastAsia="Microsoft YaHei"/>
          <w:b w:val="0"/>
          <w:color w:val="202D3A"/>
          <w:sz w:val="20"/>
        </w:rPr>
        <w:t>基于当前问卷、开放回答和公开案例证据，ResearchOps现阶段具备继续推进的初步依据，但MVP范围仍需要进一步收敛。Gate 1需要重点判断：是否继续以“复现前准备度判断 + 关键阻塞诊断”作为首版主路径；是否继续保持环境、路径/数据、checkpoint/配置三类核心诊断，而暂不增加算力诊断；以及如何根据不同操作风险设计人工审批边界。对于轻协作能力，目前仅有分享对象意愿证据，暂不建议提升为首版核心功能。</w:t>
      </w:r>
    </w:p>
    <w:p>
      <w:pPr>
        <w:keepNext/>
        <w:spacing w:before="0" w:after="60" w:line="240" w:lineRule="auto"/>
      </w:pPr>
      <w:r>
        <w:rPr>
          <w:rFonts w:ascii="Calibri" w:hAnsi="Calibri" w:eastAsia="Microsoft YaHei"/>
          <w:b/>
          <w:color w:val="2E74B5"/>
          <w:sz w:val="20"/>
        </w:rPr>
        <w:t>下一阶段应优先从“用户说需要什么”转向“用户实际怎么用”进行验证，重点完成以下几项：</w:t>
      </w:r>
    </w:p>
    <w:p>
      <w:pPr>
        <w:pStyle w:val="ListNumber"/>
        <w:keepLines/>
        <w:spacing w:before="0" w:after="40" w:line="240" w:lineRule="auto"/>
      </w:pPr>
      <w:r>
        <w:rPr>
          <w:rFonts w:ascii="Calibri" w:hAnsi="Calibri" w:eastAsia="Microsoft YaHei"/>
          <w:b/>
          <w:color w:val="2E74B5"/>
          <w:sz w:val="20"/>
        </w:rPr>
        <w:t xml:space="preserve">验证准备度检查的真实价值。 </w:t>
      </w:r>
      <w:r>
        <w:rPr>
          <w:rFonts w:ascii="Calibri" w:hAnsi="Calibri" w:eastAsia="Microsoft YaHei"/>
          <w:b w:val="0"/>
          <w:color w:val="202D3A"/>
          <w:sz w:val="20"/>
        </w:rPr>
        <w:t>让目标用户使用准备度检查完成真实论文或开源模型复现任务，观察其是否能够更早发现数据、权重、环境和资源问题，以及是否降低前期判断成本。</w:t>
      </w:r>
    </w:p>
    <w:p>
      <w:pPr>
        <w:pStyle w:val="ListNumber"/>
        <w:keepLines/>
        <w:spacing w:before="0" w:after="40" w:line="240" w:lineRule="auto"/>
      </w:pPr>
      <w:r>
        <w:rPr>
          <w:rFonts w:ascii="Calibri" w:hAnsi="Calibri" w:eastAsia="Microsoft YaHei"/>
          <w:b/>
          <w:color w:val="2E74B5"/>
          <w:sz w:val="20"/>
        </w:rPr>
        <w:t xml:space="preserve">验证三类诊断的真实效果。 </w:t>
      </w:r>
      <w:r>
        <w:rPr>
          <w:rFonts w:ascii="Calibri" w:hAnsi="Calibri" w:eastAsia="Microsoft YaHei"/>
          <w:b w:val="0"/>
          <w:color w:val="202D3A"/>
          <w:sz w:val="20"/>
        </w:rPr>
        <w:t>不再以公开案例覆盖率作为主要指标，而是记录真实任务中的诊断正确率、未识别问题和错误判断，确认环境、路径/数据、checkpoint/配置三类是否足以支撑MVP。</w:t>
      </w:r>
    </w:p>
    <w:p>
      <w:pPr>
        <w:pStyle w:val="ListNumber"/>
        <w:keepLines/>
        <w:spacing w:before="0" w:after="40" w:line="240" w:lineRule="auto"/>
      </w:pPr>
      <w:r>
        <w:rPr>
          <w:rFonts w:ascii="Calibri" w:hAnsi="Calibri" w:eastAsia="Microsoft YaHei"/>
          <w:b/>
          <w:color w:val="2E74B5"/>
          <w:sz w:val="20"/>
        </w:rPr>
        <w:t xml:space="preserve">验证Agent权限边界。 </w:t>
      </w:r>
      <w:r>
        <w:rPr>
          <w:rFonts w:ascii="Calibri" w:hAnsi="Calibri" w:eastAsia="Microsoft YaHei"/>
          <w:b w:val="0"/>
          <w:color w:val="202D3A"/>
          <w:sz w:val="20"/>
        </w:rPr>
        <w:t>在真实执行场景中观察用户面对安装依赖、修改配置、覆盖文件、删除文件和运行任务时的实际授权、确认或拒绝行为，据此设计分级审批机制。</w:t>
      </w:r>
    </w:p>
    <w:p>
      <w:pPr>
        <w:pStyle w:val="ListNumber"/>
        <w:keepLines/>
        <w:spacing w:before="0" w:after="40" w:line="240" w:lineRule="auto"/>
      </w:pPr>
      <w:r>
        <w:rPr>
          <w:rFonts w:ascii="Calibri" w:hAnsi="Calibri" w:eastAsia="Microsoft YaHei"/>
          <w:b/>
          <w:color w:val="2E74B5"/>
          <w:sz w:val="20"/>
        </w:rPr>
        <w:t xml:space="preserve">继续观察算力问题。 </w:t>
      </w:r>
      <w:r>
        <w:rPr>
          <w:rFonts w:ascii="Calibri" w:hAnsi="Calibri" w:eastAsia="Microsoft YaHei"/>
          <w:b w:val="0"/>
          <w:color w:val="202D3A"/>
          <w:sz w:val="20"/>
        </w:rPr>
        <w:t>当前算力类案例数量不足以支持立即扩展第四类诊断，应继续通过新增案例和真实任务判断其频率与严重程度。</w:t>
      </w:r>
    </w:p>
    <w:p>
      <w:pPr>
        <w:pStyle w:val="ListNumber"/>
        <w:keepLines/>
        <w:spacing w:before="0" w:after="40" w:line="240" w:lineRule="auto"/>
      </w:pPr>
      <w:r>
        <w:rPr>
          <w:rFonts w:ascii="Calibri" w:hAnsi="Calibri" w:eastAsia="Microsoft YaHei"/>
          <w:b/>
          <w:color w:val="2E74B5"/>
          <w:sz w:val="20"/>
        </w:rPr>
        <w:t xml:space="preserve">验证轻协作是否发生真实行为。 </w:t>
      </w:r>
      <w:r>
        <w:rPr>
          <w:rFonts w:ascii="Calibri" w:hAnsi="Calibri" w:eastAsia="Microsoft YaHei"/>
          <w:b w:val="0"/>
          <w:color w:val="202D3A"/>
          <w:sz w:val="20"/>
        </w:rPr>
        <w:t>观察用户是否真的会将ResearchOps生成的结果发送给导师、同事或团队成员，再决定是否需要从简单报告分享进一步扩展协作功能。</w:t>
      </w:r>
    </w:p>
    <w:p>
      <w:pPr>
        <w:keepLines/>
        <w:spacing w:before="80" w:after="160" w:line="240" w:lineRule="auto"/>
        <w:pBdr>
          <w:left w:val="single" w:sz="20" w:space="8" w:color="9BC2E6"/>
        </w:pBdr>
      </w:pPr>
      <w:r>
        <w:rPr>
          <w:rFonts w:ascii="Calibri" w:hAnsi="Calibri" w:eastAsia="Microsoft YaHei"/>
          <w:b/>
          <w:color w:val="202D3A"/>
          <w:sz w:val="20"/>
        </w:rPr>
        <w:t>综合当前证据，Gate 1更适合采取“继续推进，但收窄并验证MVP核心路径”的方向，而不是扩大功能范围。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b w:val="0"/>
        <w:i w:val="0"/>
        <w:color w:val="69717A"/>
        <w:sz w:val="18"/>
      </w:rPr>
      <w:t xml:space="preserve">第 </w:t>
    </w:r>
    <w:fldSimple w:instr="PAGE"/>
    <w:r>
      <w:rPr>
        <w:rFonts w:ascii="Calibri" w:hAnsi="Calibri" w:eastAsia="Microsoft YaHei"/>
        <w:b w:val="0"/>
        <w:i w:val="0"/>
        <w:color w:val="69717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69717A"/>
        <w:sz w:val="17"/>
      </w:rPr>
      <w:t>DAY 5 · RESEARCH EVIDENCE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第五天研究证据简报 V0.1</dc:title>
  <dc:subject>Day 5 Evidence Pack — Research Brief Skeleton</dc:subject>
  <dc:creator>ResearchOps</dc:creator>
  <cp:keywords>H1, H4, H5, H6, Gate 1, 研究证据</cp:keywords>
  <dc:description>generated by python-docx</dc:description>
  <cp:lastModifiedBy/>
  <cp:revision>1</cp:revision>
  <dcterms:created xsi:type="dcterms:W3CDTF">2013-12-23T23:15:00Z</dcterms:created>
  <dcterms:modified xsi:type="dcterms:W3CDTF">2013-12-23T23:15:00Z</dcterms:modified>
  <cp:category/>
</cp:coreProperties>
</file>