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DC3A4">
      <w:pPr>
        <w:spacing w:before="240" w:after="16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i w:val="0"/>
          <w:color w:val="2E74B5"/>
          <w:sz w:val="20"/>
        </w:rPr>
        <w:t>阶段研究简报 · V0.2</w:t>
      </w:r>
    </w:p>
    <w:p w14:paraId="35FA2859">
      <w:pPr>
        <w:spacing w:before="0"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02D3A"/>
          <w:sz w:val="50"/>
        </w:rPr>
        <w:t>研究证据简报</w:t>
      </w:r>
    </w:p>
    <w:p w14:paraId="430444C6">
      <w:pPr>
        <w:spacing w:before="0" w:after="2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69717A"/>
          <w:sz w:val="25"/>
        </w:rPr>
        <w:t>从数据、证据与限制，连接到产品含义及 Gate 1 待决问题</w:t>
      </w:r>
    </w:p>
    <w:p w14:paraId="23AE13FE">
      <w:pPr>
        <w:pBdr>
          <w:bottom w:val="single" w:color="AEB8C5" w:sz="10" w:space="1"/>
        </w:pBdr>
        <w:spacing w:before="0" w:after="16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i w:val="0"/>
          <w:color w:val="69717A"/>
          <w:sz w:val="19"/>
        </w:rPr>
        <w:t>日期：2026-08-05    |    版本：V0.2    |    状态：已审校</w:t>
      </w:r>
    </w:p>
    <w:p w14:paraId="2864BE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研究目的与当前阶段</w:t>
      </w:r>
    </w:p>
    <w:p w14:paraId="404FD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研究目的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ResearchOps当前需要检验的核心问题是：论文/开源模型复现过程中，是否存在值得产品优先解决的前置判断、执行阻塞和协作需求。本轮研究通过结构化问卷、开放回答和公开失败案例，对首版产品假设进行初步检验。</w:t>
      </w:r>
    </w:p>
    <w:p w14:paraId="6482B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当前阶段与边界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当前处于Gate 1前的问题与需求初检阶段，研究结果用于判断是否继续或调整产品方向、收敛MVP范围并明确下一阶段验证重点。本轮仅基于小规模、结构较集中的便利样本，存在自陈偏差，不能外推至整体AI研究者、工程师或更广泛的模型复现用户群体，也不能证明产品本身已经有效。</w:t>
      </w:r>
    </w:p>
    <w:p w14:paraId="311D0BF5">
      <w:pPr>
        <w:pStyle w:val="3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2. 数据来源与分析口径</w:t>
      </w:r>
    </w:p>
    <w:p w14:paraId="7DBB3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证据来源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研究证据包括正式问卷中的结构化回答与开放回答、公开失败案例，以及FGI创始用户复现案例。结构化问卷用于观察数量与比例；开放回答用于解释卡点、处理方式和提前信息需求；公开案例用于外部佐证及H5诊断覆盖分析；FGI用于提供完整过程证据，不计算市场频率。</w:t>
      </w:r>
    </w:p>
    <w:p w14:paraId="190D2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统计口径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正式问卷原始回答23份，核心有效用户N_user = 20；其中11名至少填写一个Q17开放字段。公开失败案例20条，经审计后均纳入有效案例，N_case = 20。问卷比例以N_user = 20为总体分母，Q17根据具体问题注明实际填写者分母；公开案例覆盖率以N_case = 20为分母，两类比例不混用。</w:t>
      </w:r>
    </w:p>
    <w:p w14:paraId="21C789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样本结构与研究限制</w:t>
      </w:r>
    </w:p>
    <w:p w14:paraId="04C90B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样本结构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20名核心有效用户中，研究生18/20（90.0%），其中硕士16/20（80.0%）；计算机视觉方向17/20（85.0%）；实验室共享GPU服务器使用者14/20（70.0%）；科研或学位课题场景17/20（85.0%）。样本更接近具有一定AI实验基础、在科研场景中开展模型或论文复现的研究型用户。</w:t>
      </w:r>
    </w:p>
    <w:p w14:paraId="3828BF3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研究限制</w:t>
      </w:r>
    </w:p>
    <w:p w14:paraId="2D90AB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" w:line="259" w:lineRule="auto"/>
        <w:ind w:left="173"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>• 样本与抽样：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N_user = 20，且采用便利抽样，结果仅描述本轮样本，不能外推总体发生率。</w:t>
      </w:r>
    </w:p>
    <w:p w14:paraId="5E3BC0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" w:line="259" w:lineRule="auto"/>
        <w:ind w:left="173"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>• 结构集中：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样本偏研究生、CV方向和科研场景，对企业算法工程师、LLM应用开发者及非科研型AI用户的代表性有限。</w:t>
      </w:r>
    </w:p>
    <w:p w14:paraId="175B2E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" w:line="259" w:lineRule="auto"/>
        <w:ind w:left="173"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>• 自陈偏差：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问卷依赖用户回忆既往经历，不能等同于直接观察到的真实行为。</w:t>
      </w:r>
    </w:p>
    <w:p w14:paraId="6B00D1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" w:line="259" w:lineRule="auto"/>
        <w:ind w:left="173"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>• 开放文本：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仅11/20至少填写一个Q17字段，部分回答信息不足，定性结果主要用于解释而非频率推断。</w:t>
      </w:r>
    </w:p>
    <w:p w14:paraId="05F5DA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" w:line="259" w:lineRule="auto"/>
        <w:ind w:left="173"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>• 公开案例：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公开失败案例用于证明问题存在并分析诊断覆盖，不代表市场发生频率。</w:t>
      </w:r>
    </w:p>
    <w:p w14:paraId="7525AF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初步发现：H1 / H4 / H5 / H6</w:t>
      </w:r>
    </w:p>
    <w:p w14:paraId="690BDE9F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4.1 H1：复现问题是否具有前置核验价值</w:t>
      </w:r>
    </w:p>
    <w:p w14:paraId="650FC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H1预设门槛为：不少于60%的有效样本遇到至少一项“投入运行后才发现但具有提前核验可能性”的问题，并存在具体案例支持。20名核心有效用户中，19名至少报告一项可在正式投入前核验的问题，19/20（95.0%），高于预设门槛。较突出项目包括依赖冲突11/20（55.0%）、资源不足11/20（55.0%）、预训练权重8/20（40.0%）、版本要求8/20（40.0%）和数据访问7/20（35.0%）。</w:t>
      </w:r>
    </w:p>
    <w:p w14:paraId="3E97A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开放回答提供了可追溯案例：S-011的主要卡点为“数据集获取”，发生于“下载与环境”阶段，可提前发现性编码为“是”；S-015为“数据集下载和预处理”，同阶段，可提前发现性编码为“部分”。20条有效公开案例中，13条（65.0%）为“可提前发现”、7条（35.0%）为“部分可提前发现”。公开案例比例仅表示案例分布，不代表用户发生率。</w:t>
      </w:r>
    </w:p>
    <w:p w14:paraId="5D613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当前判断：初步支持。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现有证据支持“部分复现阻塞具有前置核验价值”，但仍存在部分可提前发现和无法判断记录；不能据此认为所有复现问题均可通过前置检查避免，也不能证明ResearchOps准备度检查功能本身已经有效。</w:t>
      </w:r>
    </w:p>
    <w:p w14:paraId="203A7ED2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4.2 H4：用户对AI执行权限是否存在明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>确的风险边界</w:t>
      </w:r>
    </w:p>
    <w:p w14:paraId="01338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H4预设门槛为：安装依赖、覆盖文件和删除文件等高风险操作中，至少70%的有效用户不接受未经确认的直接执行。结果显示，安装依赖为5/20（25.0%），修改配置14/20（70.0%），覆盖文件17/20（85.0%），删除文件18/20（90.0%），运行任务10/20（50.0%）。用户对操作风险存在明显分层，而非统一地接受或拒绝AI执行。</w:t>
      </w:r>
    </w:p>
    <w:p w14:paraId="1AF9E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当前判断：部分支持 / 证据不足。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覆盖与删除达到预设门槛，但安装依赖明显未达到，因此不支持把所有预设高风险操作视为同一审批等级。Q17没有直接讨论审批机制的文本证据，且问卷测量的是自陈偏好而非真实授权行为；后续应通过原型任务验证分级审批边界。</w:t>
      </w:r>
    </w:p>
    <w:p w14:paraId="414D073A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4.3 H5：首版三类诊断范围是否覆盖主要失败类型</w:t>
      </w:r>
    </w:p>
    <w:p w14:paraId="364EE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H5预设门槛为：环境、路径/数据、checkpoint/配置三类诊断去重覆盖不少于70%的有效公开失败案例。在N_case = 20中，环境覆盖6/20（30.0%）、路径/数据8/20（40.0%）、checkpoint/配置4/20（20.0%），三类合计去重覆盖18/20（90.0%），高于门槛。C-002、C-008虽根因类别与“路径/数据”不完全一致，但跨类别覆盖均留有明确编码依据。</w:t>
      </w:r>
    </w:p>
    <w:p w14:paraId="2890E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当前判断：初步支持。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C-004、C-009两条算力案例未被覆盖，构成首版能力边界；现有2/20（10.0%）证据尚不足以立即新增第四类核心诊断。18/20（90.0%）仅表示本轮公开案例覆盖率，不是诊断准确率、召回率或问题解决率。</w:t>
      </w:r>
    </w:p>
    <w:p w14:paraId="1430058C">
      <w:pPr>
        <w:pStyle w:val="4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4.4 H6：研究结果是否存在明确的轻协作价值</w:t>
      </w:r>
    </w:p>
    <w:p w14:paraId="4C1FD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H6预设门槛为：不少于40%的有效样本能够指出明确外部分享对象。18/20（90.0%）能够指出至少一个外部分享对象，其中导师18/20（90.0%）、团队成员10/20（50.0%）、同学或同事8/20（40.0%）；另有3/20（15.0%）主要自用，1/20（5.0%）明确不会使用或分享。该题允许多选，各对象比例不相加。</w:t>
      </w:r>
    </w:p>
    <w:p w14:paraId="75FDB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当前判断：初步支持。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结果表明存在轻量分享的潜在次级价值，但目前仅证明“有明确分享对象”，没有真实分享行为，Q17也缺少直接协作证据。因此不足以将复杂团队协作能力确定为MVP的P0需求。</w:t>
      </w:r>
    </w:p>
    <w:p w14:paraId="2C09443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反例、冲突与不确定项</w:t>
      </w:r>
    </w:p>
    <w:p w14:paraId="13A28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本轮研究仍保留不支持性证据：H1存在无法明确判断主题或可提前发现性的开放记录，并有用户未提出提前信息需求；H4中安装依赖仅5/20（25.0%）不接受直接执行，与覆盖、删除形成明显差异；H5仍有2/20（10.0%）算力案例未覆盖；H6缺少真实分享行为和开放文本直接证据，且存在不分享反例。上述证据限制了结论适用范围，因此H1、H5、H6仅记为“初步支持”，H4记为“部分支持 / 证据不足”。</w:t>
      </w:r>
    </w:p>
    <w:p w14:paraId="7CA5CBC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多源证据交叉验证</w:t>
      </w:r>
    </w:p>
    <w:p w14:paraId="041AB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结构化问卷、开放回答、公开失败案例和FGI创始用户复现案例共同形成多源证据链，但承担不同作用：问卷描述当前样本中的分布，开放回答解释具体过程，公开案例提供外部佐证并检验诊断范围，FGI提供完整过程证据而不参与频率推断。</w:t>
      </w:r>
    </w:p>
    <w:p w14:paraId="72F7A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现有证据在“部分复现问题具有前置核验价值”上形成一定相互印证，同时也暴露证据缺口：H4主要依赖结构化问卷，H6缺少真实行为证据。多源证据的价值在于提高问题判断可信度并识别缺口，而不是把用户比例、案例覆盖率和单个过程案例合并为统一“支持率”。</w:t>
      </w:r>
    </w:p>
    <w:p w14:paraId="36A3F7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当前产品含义（暂定）</w:t>
      </w:r>
    </w:p>
    <w:p w14:paraId="79CAA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现有证据支持ResearchOps继续围绕“复现前判断 + 关键阻塞诊断”收敛首版价值。MVP可优先验证结构化“复现准备度检查”，在正式投入运行前集中暴露数据、权重、版本和资源等关键前置条件，而不是承诺自动完成全部复现流程。</w:t>
      </w:r>
    </w:p>
    <w:p w14:paraId="093A8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诊断范围暂保持“环境、路径/数据、checkpoint/配置”三类；算力作为明确边界继续观察，不因少量案例立即扩展。执行权限采用按风险分级的审批思路，对覆盖、删除等不可逆操作优先要求人工确认，对低风险、可恢复操作再验证更高自动化程度。</w:t>
      </w:r>
    </w:p>
    <w:p w14:paraId="4A4B5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轻协作暂不进入MVP核心范围，可优先测试报告导出、结果摘要或可分享链接等低成本能力，而不建设评论、多人任务分配或团队空间。以上均为基于当前证据的产品推断，仍需真实原型测试验证。</w:t>
      </w:r>
    </w:p>
    <w:p w14:paraId="497CD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首版定位（暂定）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帮助用户在正式投入论文或开源模型复现前判断“能不能做、准备是否充分”，并在执行过程中优先诊断少数关键阻塞，而不是替用户自动完成整个复现流程。</w:t>
      </w:r>
    </w:p>
    <w:p w14:paraId="31E2C8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Gate 1 待决问题与下一步</w:t>
      </w:r>
    </w:p>
    <w:p w14:paraId="0D6E7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69" w:lineRule="auto"/>
        <w:ind w:firstLine="420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 w:val="0"/>
          <w:color w:val="202D3A"/>
          <w:sz w:val="21"/>
          <w:szCs w:val="21"/>
        </w:rPr>
        <w:t>Gate 1需要决定：是否继续以“复现前准备度判断 + 关键阻塞诊断”为首版主路径；是否保持三类核心诊断、暂不增加算力诊断；以及如何设计分级审批边界。轻协作目前仅有分享对象意愿证据，暂不提升为首版核心功能。下一阶段应从“用户说需要什么”转向“用户实际怎么用”。</w:t>
      </w:r>
    </w:p>
    <w:p w14:paraId="4CF98CC4">
      <w:pPr>
        <w:pStyle w:val="14"/>
        <w:spacing w:after="50" w:line="252" w:lineRule="auto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验证准备度检查的真实价值。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观察真实复现任务中是否更早发现数据、权重、环境和资源问题，并降低前期判断成本。</w:t>
      </w:r>
    </w:p>
    <w:p w14:paraId="1F488888">
      <w:pPr>
        <w:pStyle w:val="14"/>
        <w:spacing w:after="50" w:line="252" w:lineRule="auto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验证三类诊断的真实效果。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记录真实任务中的正确识别、漏诊和误判，不再把公开案例覆盖率当作产品效果指标。</w:t>
      </w:r>
    </w:p>
    <w:p w14:paraId="198055A2">
      <w:pPr>
        <w:pStyle w:val="14"/>
        <w:spacing w:after="50" w:line="252" w:lineRule="auto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验证Agent权限边界。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观察安装依赖、修改配置、覆盖、删除和运行任务时的实际授权、确认与拒绝行为。</w:t>
      </w:r>
    </w:p>
    <w:p w14:paraId="599771BB">
      <w:pPr>
        <w:pStyle w:val="14"/>
        <w:spacing w:after="50" w:line="252" w:lineRule="auto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继续观察算力问题。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通过新增案例和真实任务判断其频率与严重程度，决定是否扩展诊断范围。</w:t>
      </w:r>
    </w:p>
    <w:p w14:paraId="418061A3">
      <w:pPr>
        <w:pStyle w:val="14"/>
        <w:spacing w:after="50" w:line="252" w:lineRule="auto"/>
        <w:jc w:val="both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验证轻协作的真实行为。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观察用户是否实际将结果发送给导师、同事或团队成员，再决定是否扩展协作能力。</w:t>
      </w:r>
    </w:p>
    <w:p w14:paraId="21688A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76" w:lineRule="auto"/>
        <w:ind w:firstLine="422" w:firstLineChars="200"/>
        <w:jc w:val="both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color w:val="2E74B5"/>
          <w:sz w:val="21"/>
          <w:szCs w:val="21"/>
        </w:rPr>
        <w:t xml:space="preserve">Gate 1建议  </w:t>
      </w:r>
      <w:r>
        <w:rPr>
          <w:rFonts w:ascii="Times New Roman" w:hAnsi="Times New Roman" w:eastAsia="宋体"/>
          <w:b w:val="0"/>
          <w:color w:val="202D3A"/>
          <w:sz w:val="21"/>
          <w:szCs w:val="21"/>
        </w:rPr>
        <w:t>继续推进，但收窄并验证MVP核心路径，不扩大功能范围。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0A884">
    <w:pPr>
      <w:pStyle w:val="24"/>
      <w:spacing w:before="0"/>
      <w:jc w:val="right"/>
    </w:pPr>
    <w:r>
      <w:rPr>
        <w:rFonts w:ascii="Calibri" w:hAnsi="Calibri" w:eastAsia="微软雅黑"/>
        <w:b w:val="0"/>
        <w:i w:val="0"/>
        <w:color w:val="69717A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69717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8B5B9">
    <w:pPr>
      <w:pStyle w:val="25"/>
      <w:spacing w:after="0"/>
      <w:jc w:val="left"/>
    </w:pPr>
    <w:r>
      <w:rPr>
        <w:rFonts w:ascii="Calibri" w:hAnsi="Calibri" w:eastAsia="微软雅黑"/>
        <w:b/>
        <w:i w:val="0"/>
        <w:color w:val="69717A"/>
        <w:sz w:val="17"/>
      </w:rPr>
      <w:t>DAY 5 · RESEARCH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2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微软雅黑" w:hAnsi="微软雅黑" w:eastAsia="微软雅黑" w:cstheme="minorBidi"/>
      <w:color w:val="202D3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3239</Words>
  <Characters>3725</Characters>
  <Lines>0</Lines>
  <Paragraphs>0</Paragraphs>
  <TotalTime>14</TotalTime>
  <ScaleCrop>false</ScaleCrop>
  <LinksUpToDate>false</LinksUpToDate>
  <CharactersWithSpaces>3821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ResearchOps</dc:creator>
  <dc:description>generated by python-docx</dc:description>
  <cp:keywords>H1, H4, H5, H6, Gate 1, 研究证据</cp:keywords>
  <cp:lastModifiedBy>蔡中琴</cp:lastModifiedBy>
  <dcterms:modified xsi:type="dcterms:W3CDTF">2026-08-07T11:08:18Z</dcterms:modified>
  <dc:subject>Day 5 Evidence Pack — Research Brief Skeleton</dc:subject>
  <dc:title>第五天研究证据简报 V0.1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eyJoZGlkIjoiMGI2MDkyM2RmNzA1ZDBiY2NhZDA1MzlkMWFlMjNiMWQiLCJ1c2VySWQiOiIxNzcyNDgwODg3In0=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394012E7628C4F6EA2A9E770CD46DA95_12</vt:lpwstr>
  </property>
</Properties>
</file>