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EB874">
      <w:pPr>
        <w:pStyle w:val="31"/>
        <w:widowControl/>
        <w:spacing w:before="0" w:after="160" w:line="240" w:lineRule="auto"/>
        <w:jc w:val="left"/>
        <w:rPr>
          <w:rFonts w:ascii="Times New Roman" w:hAnsi="Times New Roman" w:eastAsia="宋体"/>
        </w:rPr>
      </w:pPr>
      <w:r>
        <w:rPr>
          <w:rFonts w:ascii="Times New Roman" w:hAnsi="Times New Roman" w:eastAsia="Noto Sans CJK SC" w:cs="Times New Roman"/>
          <w:b/>
          <w:color w:val="17365D"/>
          <w:sz w:val="40"/>
        </w:rPr>
        <w:t>ResearchOps · Baseline Test Protocol</w:t>
      </w:r>
    </w:p>
    <w:tbl>
      <w:tblPr>
        <w:tblStyle w:val="33"/>
        <w:tblW w:w="9637"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1417"/>
        <w:gridCol w:w="3118"/>
        <w:gridCol w:w="1417"/>
        <w:gridCol w:w="3685"/>
      </w:tblGrid>
      <w:tr w14:paraId="4B67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B7C9E2" w:sz="4" w:space="0"/>
              <w:left w:val="single" w:color="B7C9E2" w:sz="4" w:space="0"/>
              <w:bottom w:val="single" w:color="B7C9E2" w:sz="4" w:space="0"/>
              <w:right w:val="single" w:color="B7C9E2" w:sz="4" w:space="0"/>
            </w:tcBorders>
            <w:shd w:val="clear" w:color="auto" w:fill="F5F7FA"/>
            <w:tcMar>
              <w:top w:w="120" w:type="dxa"/>
              <w:left w:w="120" w:type="dxa"/>
              <w:bottom w:w="120" w:type="dxa"/>
              <w:right w:w="120" w:type="dxa"/>
            </w:tcMar>
            <w:vAlign w:val="center"/>
          </w:tcPr>
          <w:p w14:paraId="100E5788">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9"/>
              </w:rPr>
              <w:t>协议版本</w:t>
            </w:r>
          </w:p>
        </w:tc>
        <w:tc>
          <w:tcPr>
            <w:tcW w:w="3118" w:type="dxa"/>
            <w:tcBorders>
              <w:top w:val="single" w:color="B7C9E2" w:sz="4" w:space="0"/>
              <w:left w:val="single" w:color="B7C9E2" w:sz="4" w:space="0"/>
              <w:bottom w:val="single" w:color="B7C9E2" w:sz="4" w:space="0"/>
              <w:right w:val="single" w:color="B7C9E2" w:sz="4" w:space="0"/>
            </w:tcBorders>
            <w:shd w:val="clear" w:color="auto" w:fill="F5F7FA"/>
            <w:tcMar>
              <w:top w:w="120" w:type="dxa"/>
              <w:left w:w="120" w:type="dxa"/>
              <w:bottom w:w="120" w:type="dxa"/>
              <w:right w:w="120" w:type="dxa"/>
            </w:tcMar>
            <w:vAlign w:val="center"/>
          </w:tcPr>
          <w:p w14:paraId="367EC808">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9"/>
              </w:rPr>
              <w:t>V1.0</w:t>
            </w:r>
          </w:p>
        </w:tc>
        <w:tc>
          <w:tcPr>
            <w:tcW w:w="1417" w:type="dxa"/>
            <w:tcBorders>
              <w:top w:val="single" w:color="B7C9E2" w:sz="4" w:space="0"/>
              <w:left w:val="single" w:color="B7C9E2" w:sz="4" w:space="0"/>
              <w:bottom w:val="single" w:color="B7C9E2" w:sz="4" w:space="0"/>
              <w:right w:val="single" w:color="B7C9E2" w:sz="4" w:space="0"/>
            </w:tcBorders>
            <w:shd w:val="clear" w:color="auto" w:fill="F5F7FA"/>
            <w:tcMar>
              <w:top w:w="120" w:type="dxa"/>
              <w:left w:w="120" w:type="dxa"/>
              <w:bottom w:w="120" w:type="dxa"/>
              <w:right w:w="120" w:type="dxa"/>
            </w:tcMar>
            <w:vAlign w:val="center"/>
          </w:tcPr>
          <w:p w14:paraId="48A88EF6">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9"/>
              </w:rPr>
              <w:t>协议 ID</w:t>
            </w:r>
          </w:p>
        </w:tc>
        <w:tc>
          <w:tcPr>
            <w:tcW w:w="3685" w:type="dxa"/>
            <w:tcBorders>
              <w:top w:val="single" w:color="B7C9E2" w:sz="4" w:space="0"/>
              <w:left w:val="single" w:color="B7C9E2" w:sz="4" w:space="0"/>
              <w:bottom w:val="single" w:color="B7C9E2" w:sz="4" w:space="0"/>
              <w:right w:val="single" w:color="B7C9E2" w:sz="4" w:space="0"/>
            </w:tcBorders>
            <w:shd w:val="clear" w:color="auto" w:fill="F5F7FA"/>
            <w:tcMar>
              <w:top w:w="120" w:type="dxa"/>
              <w:left w:w="120" w:type="dxa"/>
              <w:bottom w:w="120" w:type="dxa"/>
              <w:right w:w="120" w:type="dxa"/>
            </w:tcMar>
            <w:vAlign w:val="center"/>
          </w:tcPr>
          <w:p w14:paraId="0FE1A19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9"/>
              </w:rPr>
              <w:t>20260809_Baseline_Test_Protocol_V1</w:t>
            </w:r>
          </w:p>
        </w:tc>
      </w:tr>
      <w:tr w14:paraId="44AF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B7C9E2" w:sz="4" w:space="0"/>
              <w:left w:val="single" w:color="B7C9E2" w:sz="4" w:space="0"/>
              <w:bottom w:val="single" w:color="B7C9E2" w:sz="4" w:space="0"/>
              <w:right w:val="single" w:color="B7C9E2" w:sz="4" w:space="0"/>
            </w:tcBorders>
            <w:shd w:val="clear" w:color="auto" w:fill="EAF0F8"/>
            <w:tcMar>
              <w:top w:w="120" w:type="dxa"/>
              <w:left w:w="120" w:type="dxa"/>
              <w:bottom w:w="120" w:type="dxa"/>
              <w:right w:w="120" w:type="dxa"/>
            </w:tcMar>
            <w:vAlign w:val="center"/>
          </w:tcPr>
          <w:p w14:paraId="50DE268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9"/>
              </w:rPr>
              <w:t>整理日期</w:t>
            </w:r>
          </w:p>
        </w:tc>
        <w:tc>
          <w:tcPr>
            <w:tcW w:w="311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tcPr>
          <w:p w14:paraId="6AA861A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9"/>
              </w:rPr>
              <w:t>2026-08-10</w:t>
            </w:r>
          </w:p>
        </w:tc>
        <w:tc>
          <w:tcPr>
            <w:tcW w:w="1417" w:type="dxa"/>
            <w:tcBorders>
              <w:top w:val="single" w:color="B7C9E2" w:sz="4" w:space="0"/>
              <w:left w:val="single" w:color="B7C9E2" w:sz="4" w:space="0"/>
              <w:bottom w:val="single" w:color="B7C9E2" w:sz="4" w:space="0"/>
              <w:right w:val="single" w:color="B7C9E2" w:sz="4" w:space="0"/>
            </w:tcBorders>
            <w:shd w:val="clear" w:color="auto" w:fill="EAF0F8"/>
            <w:tcMar>
              <w:top w:w="120" w:type="dxa"/>
              <w:left w:w="120" w:type="dxa"/>
              <w:bottom w:w="120" w:type="dxa"/>
              <w:right w:w="120" w:type="dxa"/>
            </w:tcMar>
            <w:vAlign w:val="center"/>
          </w:tcPr>
          <w:p w14:paraId="01DE666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9"/>
              </w:rPr>
              <w:t>当前状态</w:t>
            </w:r>
          </w:p>
        </w:tc>
        <w:tc>
          <w:tcPr>
            <w:tcW w:w="3685"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tcPr>
          <w:p w14:paraId="13CE9ACB">
            <w:pPr>
              <w:spacing w:before="0" w:after="40" w:line="240" w:lineRule="auto"/>
              <w:rPr>
                <w:rFonts w:hint="default" w:ascii="Times New Roman" w:hAnsi="Times New Roman" w:eastAsia="宋体"/>
                <w:lang w:val="en-US" w:eastAsia="zh-CN"/>
              </w:rPr>
            </w:pPr>
            <w:r>
              <w:rPr>
                <w:rFonts w:ascii="Times New Roman" w:hAnsi="Times New Roman" w:eastAsia="Noto Sans CJK SC" w:cs="Times New Roman"/>
                <w:b w:val="0"/>
                <w:color w:val="000000"/>
                <w:sz w:val="19"/>
              </w:rPr>
              <w:t>F</w:t>
            </w:r>
            <w:r>
              <w:rPr>
                <w:rFonts w:hint="eastAsia" w:ascii="Times New Roman" w:hAnsi="Times New Roman" w:eastAsia="Noto Sans CJK SC" w:cs="Times New Roman"/>
                <w:b w:val="0"/>
                <w:color w:val="000000"/>
                <w:sz w:val="19"/>
                <w:lang w:val="en-US" w:eastAsia="zh-CN"/>
              </w:rPr>
              <w:t>REEZE</w:t>
            </w:r>
            <w:bookmarkStart w:id="0" w:name="_GoBack"/>
            <w:bookmarkEnd w:id="0"/>
          </w:p>
        </w:tc>
      </w:tr>
    </w:tbl>
    <w:tbl>
      <w:tblPr>
        <w:tblStyle w:val="32"/>
        <w:tblW w:w="10086" w:type="dxa"/>
        <w:jc w:val="center"/>
        <w:tblLayout w:type="autofit"/>
        <w:tblCellMar>
          <w:top w:w="0" w:type="dxa"/>
          <w:left w:w="108" w:type="dxa"/>
          <w:bottom w:w="0" w:type="dxa"/>
          <w:right w:w="108" w:type="dxa"/>
        </w:tblCellMar>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10086"/>
      </w:tblGrid>
      <w:tr w14:paraId="23CB66D3">
        <w:tblPrEx>
          <w:tblCellMar>
            <w:top w:w="0" w:type="dxa"/>
            <w:left w:w="108" w:type="dxa"/>
            <w:bottom w:w="0" w:type="dxa"/>
            <w:right w:w="108" w:type="dxa"/>
          </w:tblCellMar>
        </w:tblPrEx>
        <w:trPr>
          <w:jc w:val="center"/>
        </w:trPr>
        <w:tc>
          <w:tcPr>
            <w:tcW w:w="10086" w:type="dxa"/>
            <w:tcBorders>
              <w:top w:val="single" w:color="8EAADB" w:sz="8" w:space="0"/>
              <w:left w:val="single" w:color="8EAADB" w:sz="8" w:space="0"/>
              <w:bottom w:val="single" w:color="8EAADB" w:sz="8" w:space="0"/>
              <w:right w:val="single" w:color="8EAADB" w:sz="8" w:space="0"/>
            </w:tcBorders>
            <w:shd w:val="clear" w:color="auto" w:fill="EEF4FB"/>
            <w:tcMar>
              <w:top w:w="120" w:type="dxa"/>
              <w:left w:w="120" w:type="dxa"/>
              <w:bottom w:w="120" w:type="dxa"/>
              <w:right w:w="120" w:type="dxa"/>
            </w:tcMar>
            <w:vAlign w:val="center"/>
          </w:tcPr>
          <w:p w14:paraId="6945E52D">
            <w:pPr>
              <w:spacing w:after="40" w:line="240" w:lineRule="auto" w:before="0"/>
              <w:rPr>
                <w:rFonts w:ascii="Times New Roman" w:hAnsi="Times New Roman" w:eastAsia="宋体"/>
              </w:rPr>
            </w:pPr>
            <w:r>
              <w:rPr>
                <w:rFonts w:ascii="Times New Roman" w:hAnsi="Times New Roman" w:eastAsia="Noto Sans CJK SC" w:cs="Times New Roman"/>
                <w:b/>
                <w:color w:val="000000"/>
                <w:sz w:val="19"/>
              </w:rPr>
              <w:t>协议目的</w:t>
            </w:r>
          </w:p>
          <w:p w14:paraId="3AF63010">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在 Day 2 Baseline 同题测试开始前，冻结比较对象、统一输入、统一任务、能力与权限、追问、计时、失败/中断及原始留档规则。</w:t>
            </w:r>
          </w:p>
          <w:p w14:paraId="503B623A">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本协议用于“方案发现 / 决策断点研究”，不等同于 H2 正式胜负实验。</w:t>
            </w:r>
          </w:p>
        </w:tc>
      </w:tr>
    </w:tbl>
    <w:p w14:paraId="0CCA4F05">
      <w:pPr>
        <w:widowControl/>
        <w:spacing w:after="80" w:line="276" w:lineRule="auto" w:before="0"/>
        <w:rPr>
          <w:rFonts w:ascii="Times New Roman" w:hAnsi="Times New Roman" w:eastAsia="宋体"/>
        </w:rPr>
      </w:pPr>
    </w:p>
    <w:p w14:paraId="2A0BAD04">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1. Baseline 对象与角色</w:t>
      </w:r>
    </w:p>
    <w:p w14:paraId="723EB885">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本轮 Baseline 以 A、B 为必测对象，C 为增强项；本次 C 已确定 INCLUDE，工具为 Codex。第一节只定义比较对象与核心角色，不在此处重复后续权限细则。</w:t>
      </w:r>
    </w:p>
    <w:p w14:paraId="7A821F82">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1.1 A｜通用大模型自由对话（必测）</w:t>
      </w:r>
    </w:p>
    <w:p w14:paraId="791B10DC">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定义：</w:t>
      </w:r>
      <w:r>
        <w:rPr>
          <w:rFonts w:ascii="Times New Roman" w:hAnsi="Times New Roman" w:eastAsia="Noto Sans CJK SC" w:cs="Times New Roman"/>
          <w:color w:val="000000"/>
          <w:sz w:val="19"/>
        </w:rPr>
        <w:t>用户将统一 FGI Input Pack、复现目标及约束条件直接提供给通用大模型，通过普通自由对话完成复现准备判断。</w:t>
      </w:r>
    </w:p>
    <w:p w14:paraId="0E42406C">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目的：</w:t>
      </w:r>
      <w:r>
        <w:rPr>
          <w:rFonts w:ascii="Times New Roman" w:hAnsi="Times New Roman" w:eastAsia="Noto Sans CJK SC" w:cs="Times New Roman"/>
          <w:color w:val="000000"/>
          <w:sz w:val="19"/>
        </w:rPr>
        <w:t>建立当前最主要的 AI 替代方案基线，观察自由对话模式下的信息缺失、证据定位和决策支持能力。</w:t>
      </w:r>
    </w:p>
    <w:p w14:paraId="714A94E4">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核心边界：</w:t>
      </w:r>
    </w:p>
    <w:p w14:paraId="2C07DCD6">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不提供 ResearchOps 的六维准备度卡、判断规则或其他结构化答案。</w:t>
      </w:r>
    </w:p>
    <w:p w14:paraId="31FCEE53">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使用统一 Input Pack；完整保存输入、输出和后续交互。</w:t>
      </w:r>
    </w:p>
    <w:p w14:paraId="6664F40A">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测试时记录实际产品 / 模型名称、版本与测试日期。</w:t>
      </w:r>
    </w:p>
    <w:tbl>
      <w:tblPr>
        <w:tblStyle w:val="33"/>
        <w:tblW w:w="9640"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552"/>
        <w:gridCol w:w="7088"/>
      </w:tblGrid>
      <w:tr w14:paraId="743C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4BA248A0">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控制字段</w:t>
            </w:r>
          </w:p>
        </w:tc>
        <w:tc>
          <w:tcPr>
            <w:tcW w:w="708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5F5AF91E">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冻结规则</w:t>
            </w:r>
          </w:p>
        </w:tc>
      </w:tr>
      <w:tr w14:paraId="2AB3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47320EB4">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产品 / 模型</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DE11A5C">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Day 2 记录实际名称与显示版本</w:t>
            </w:r>
          </w:p>
        </w:tc>
      </w:tr>
      <w:tr w14:paraId="7B9D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3FE2FDEA">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对话环境</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1D69F2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新建独立、干净对话，不继承 ResearchOps 历史上下文</w:t>
            </w:r>
          </w:p>
        </w:tc>
      </w:tr>
      <w:tr w14:paraId="3572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0734F45">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Input Pack</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F73EAD2">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20260809_FGI_Baseline_Input_Pack_V1</w:t>
            </w:r>
          </w:p>
        </w:tc>
      </w:tr>
      <w:tr w14:paraId="3B67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24437666">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联网与追问</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16B564E4">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按本协议第 4、5 节执行</w:t>
            </w:r>
          </w:p>
        </w:tc>
      </w:tr>
    </w:tbl>
    <w:p w14:paraId="222D1F5A">
      <w:pPr>
        <w:widowControl/>
        <w:spacing w:after="80" w:line="276" w:lineRule="auto" w:before="0"/>
        <w:rPr>
          <w:rFonts w:ascii="Times New Roman" w:hAnsi="Times New Roman" w:eastAsia="宋体"/>
        </w:rPr>
      </w:pPr>
    </w:p>
    <w:p w14:paraId="61768F51">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1.2 B｜人工现有流程（必测）</w:t>
      </w:r>
    </w:p>
    <w:p w14:paraId="53265334">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定义：</w:t>
      </w:r>
      <w:r>
        <w:rPr>
          <w:rFonts w:ascii="Times New Roman" w:hAnsi="Times New Roman" w:eastAsia="Noto Sans CJK SC" w:cs="Times New Roman"/>
          <w:color w:val="000000"/>
          <w:sz w:val="19"/>
        </w:rPr>
        <w:t>用户按照当前自然人工流程，查阅论文、README、GitHub Issue、配置与脚本，并在需要时使用搜索完成复现准备判断。</w:t>
      </w:r>
    </w:p>
    <w:p w14:paraId="59E6D7B3">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目的：</w:t>
      </w:r>
      <w:r>
        <w:rPr>
          <w:rFonts w:ascii="Times New Roman" w:hAnsi="Times New Roman" w:eastAsia="Noto Sans CJK SC" w:cs="Times New Roman"/>
          <w:color w:val="000000"/>
          <w:sz w:val="19"/>
        </w:rPr>
        <w:t>建立用户当前真实复现准备流程基线，观察人工查找、信息组织、跨材料切换和决策过程中的断点。</w:t>
      </w:r>
    </w:p>
    <w:p w14:paraId="5491DB36">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核心边界：</w:t>
      </w:r>
    </w:p>
    <w:p w14:paraId="6551EC1A">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不使用 ResearchOps，也不使用生成式 AI 代替人工判断。</w:t>
      </w:r>
    </w:p>
    <w:p w14:paraId="4F87E7E5">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允许查阅冻结材料，并按协议规定使用搜索。</w:t>
      </w:r>
    </w:p>
    <w:p w14:paraId="2B77CFE5">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保留真实阅读顺序、搜索、切换、无法判断点和最终结论。</w:t>
      </w:r>
    </w:p>
    <w:tbl>
      <w:tblPr>
        <w:tblStyle w:val="33"/>
        <w:tblW w:w="9640"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552"/>
        <w:gridCol w:w="7088"/>
      </w:tblGrid>
      <w:tr w14:paraId="0F39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261CC93F">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控制字段</w:t>
            </w:r>
          </w:p>
        </w:tc>
        <w:tc>
          <w:tcPr>
            <w:tcW w:w="708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295BC5D2">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冻结规则</w:t>
            </w:r>
          </w:p>
        </w:tc>
      </w:tr>
      <w:tr w14:paraId="1744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80E8EE5">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执行主体</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077AF6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由测试执行者按自然人工流程完成</w:t>
            </w:r>
          </w:p>
        </w:tc>
      </w:tr>
      <w:tr w14:paraId="1246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E42E34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Input Pack</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C1E85B0">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20260809_FGI_Baseline_Input_Pack_V1</w:t>
            </w:r>
          </w:p>
        </w:tc>
      </w:tr>
      <w:tr w14:paraId="08D4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77C194EC">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材料范围</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4CC5303E">
            <w:pPr>
              <w:spacing w:before="0" w:after="40" w:line="240" w:lineRule="auto"/>
              <w:rPr>
                <w:rFonts w:hint="eastAsia" w:ascii="Times New Roman" w:hAnsi="Times New Roman" w:eastAsia="宋体"/>
                <w:b w:val="0"/>
                <w:sz w:val="17"/>
              </w:rPr>
            </w:pPr>
            <w:r>
              <w:rPr>
                <w:rFonts w:hint="eastAsia" w:ascii="Times New Roman" w:hAnsi="Times New Roman" w:eastAsia="Noto Sans CJK SC" w:cs="Times New Roman"/>
                <w:b w:val="0"/>
                <w:color w:val="000000"/>
                <w:sz w:val="18"/>
              </w:rPr>
              <w:t>统一 Input Pack 中指定的论文、README 与冻结 Repository；</w:t>
            </w:r>
          </w:p>
          <w:p w14:paraId="43AAB708">
            <w:pPr>
              <w:spacing w:before="0" w:after="40" w:line="240" w:lineRule="auto"/>
              <w:rPr>
                <w:rFonts w:hint="eastAsia" w:ascii="Times New Roman" w:hAnsi="Times New Roman" w:eastAsia="宋体"/>
                <w:b w:val="0"/>
                <w:sz w:val="17"/>
              </w:rPr>
            </w:pPr>
            <w:r>
              <w:rPr>
                <w:rFonts w:hint="eastAsia" w:ascii="Times New Roman" w:hAnsi="Times New Roman" w:eastAsia="Noto Sans CJK SC" w:cs="Times New Roman"/>
                <w:b w:val="0"/>
                <w:color w:val="000000"/>
                <w:sz w:val="18"/>
              </w:rPr>
              <w:t>Repository 内的配置、脚本及其他代码文件由执行者自行发现和读取；</w:t>
            </w:r>
          </w:p>
          <w:p w14:paraId="7E470764">
            <w:pPr>
              <w:spacing w:before="0" w:after="40" w:line="240" w:lineRule="auto"/>
              <w:rPr>
                <w:rFonts w:ascii="Times New Roman" w:hAnsi="Times New Roman" w:eastAsia="宋体"/>
              </w:rPr>
            </w:pPr>
            <w:r>
              <w:rPr>
                <w:rFonts w:hint="eastAsia" w:ascii="Times New Roman" w:hAnsi="Times New Roman" w:eastAsia="Noto Sans CJK SC" w:cs="Times New Roman"/>
                <w:b w:val="0"/>
                <w:color w:val="000000"/>
                <w:sz w:val="18"/>
              </w:rPr>
              <w:t>GitHub Issues 按本协议第 4 节作为允许的外部检索来源使用。</w:t>
            </w:r>
          </w:p>
        </w:tc>
      </w:tr>
      <w:tr w14:paraId="6C61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01AD1070">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搜索与计时</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033305A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按本协议第 4、6 节执行</w:t>
            </w:r>
          </w:p>
        </w:tc>
      </w:tr>
    </w:tbl>
    <w:p w14:paraId="10EC35FB">
      <w:pPr>
        <w:widowControl/>
        <w:spacing w:after="80" w:line="276" w:lineRule="auto" w:before="0"/>
        <w:rPr>
          <w:rFonts w:ascii="Times New Roman" w:hAnsi="Times New Roman" w:eastAsia="宋体"/>
        </w:rPr>
      </w:pPr>
    </w:p>
    <w:p w14:paraId="7366A474">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1.3 C｜Codex（AI 编程 / 仓库理解工具，INCLUDE）</w:t>
      </w:r>
    </w:p>
    <w:p w14:paraId="3491B398">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定义：</w:t>
      </w:r>
      <w:r>
        <w:rPr>
          <w:rFonts w:ascii="Times New Roman" w:hAnsi="Times New Roman" w:eastAsia="Noto Sans CJK SC" w:cs="Times New Roman"/>
          <w:color w:val="000000"/>
          <w:sz w:val="19"/>
        </w:rPr>
        <w:t>用户使用 Codex 对统一 FGI 仓库及 Input Pack 进行代码和仓库理解，并完成复现准备判断。</w:t>
      </w:r>
    </w:p>
    <w:p w14:paraId="092A2E76">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目的：</w:t>
      </w:r>
      <w:r>
        <w:rPr>
          <w:rFonts w:ascii="Times New Roman" w:hAnsi="Times New Roman" w:eastAsia="Noto Sans CJK SC" w:cs="Times New Roman"/>
          <w:color w:val="000000"/>
          <w:sz w:val="19"/>
        </w:rPr>
        <w:t>观察具备代码库理解能力的 AI 工具是否能够减少复现准备过程中的信息获取和定位成本，以及“代码理解强”是否自然转化为“复现决策强”。</w:t>
      </w:r>
    </w:p>
    <w:p w14:paraId="3CC3EF11">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核心边界：</w:t>
      </w:r>
    </w:p>
    <w:p w14:paraId="7A24BB6E">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使用与 A/B 相同的 Input Pack。</w:t>
      </w:r>
    </w:p>
    <w:p w14:paraId="6C2E88CB">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不提供 ResearchOps 的结构化判断框架。</w:t>
      </w:r>
    </w:p>
    <w:p w14:paraId="602C3CE2">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固定一种 Codex 使用形态；实际版本、环境和能力在测试记录中留档。</w:t>
      </w:r>
    </w:p>
    <w:tbl>
      <w:tblPr>
        <w:tblStyle w:val="33"/>
        <w:tblW w:w="9640"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552"/>
        <w:gridCol w:w="7088"/>
      </w:tblGrid>
      <w:tr w14:paraId="1C8A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1C39A2F6">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控制字段</w:t>
            </w:r>
          </w:p>
        </w:tc>
        <w:tc>
          <w:tcPr>
            <w:tcW w:w="708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26B03459">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冻结规则</w:t>
            </w:r>
          </w:p>
        </w:tc>
      </w:tr>
      <w:tr w14:paraId="3651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6C7B8C7">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工具</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A05650D">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Codex</w:t>
            </w:r>
          </w:p>
        </w:tc>
      </w:tr>
      <w:tr w14:paraId="27D6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1E42E5E">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使用形态</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2615FB5">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Day 2 前固定一种形态，不混用多个形态</w:t>
            </w:r>
          </w:p>
        </w:tc>
      </w:tr>
      <w:tr w14:paraId="5ED9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1E95E2F">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Input Pack</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E8A4E3D">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20260809_FGI_Baseline_Input_Pack_V1</w:t>
            </w:r>
          </w:p>
        </w:tc>
      </w:tr>
      <w:tr w14:paraId="5D76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ECA483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仓库能力</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39714F8F">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允许正常读取、检索冻结 FGI 仓库与材料</w:t>
            </w:r>
          </w:p>
        </w:tc>
      </w:tr>
      <w:tr w14:paraId="5CEB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2FF0070">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其他权限</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0EB8032">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按本协议第 4、5 节执行</w:t>
            </w:r>
          </w:p>
        </w:tc>
      </w:tr>
    </w:tbl>
    <w:p w14:paraId="2AC3228F">
      <w:pPr>
        <w:widowControl/>
        <w:spacing w:after="80" w:line="276" w:lineRule="auto" w:before="0"/>
        <w:rPr>
          <w:rFonts w:ascii="Times New Roman" w:hAnsi="Times New Roman" w:eastAsia="宋体"/>
        </w:rPr>
      </w:pPr>
    </w:p>
    <w:p w14:paraId="57976F2A">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2. 输入材料一致性规则</w:t>
      </w:r>
    </w:p>
    <w:p w14:paraId="62C24539">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2.1 统一输入包</w:t>
      </w:r>
    </w:p>
    <w:p w14:paraId="50EE16E6">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A｜通用大模型自由对话、B｜人工现有流程、C｜Codex 均统一使用 `20260809_FGI_Baseline_Input_Pack_V1` 作为基础输入材料，不为不同 Baseline 制作内容不同的材料包。</w:t>
      </w:r>
    </w:p>
    <w:p w14:paraId="3CD0A959">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2.2 一致性规则</w:t>
      </w:r>
    </w:p>
    <w:tbl>
      <w:tblPr>
        <w:tblStyle w:val="33"/>
        <w:tblW w:w="9638"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268"/>
        <w:gridCol w:w="7370"/>
      </w:tblGrid>
      <w:tr w14:paraId="54C6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226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7AD10B2B">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规则</w:t>
            </w:r>
          </w:p>
        </w:tc>
        <w:tc>
          <w:tcPr>
            <w:tcW w:w="7370"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78AA9600">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冻结要求</w:t>
            </w:r>
          </w:p>
        </w:tc>
      </w:tr>
      <w:tr w14:paraId="52EF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CFBBE8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版本一致</w:t>
            </w:r>
          </w:p>
        </w:tc>
        <w:tc>
          <w:tcPr>
            <w:tcW w:w="737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98F88B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A / B / C 均使用同一 Input Pack 版本，不得混用不同版本。</w:t>
            </w:r>
          </w:p>
        </w:tc>
      </w:tr>
      <w:tr w14:paraId="056A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36F76E84">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内容一致</w:t>
            </w:r>
          </w:p>
        </w:tc>
        <w:tc>
          <w:tcPr>
            <w:tcW w:w="737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75055D1E">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基础事实、文件和用户约束保持一致，不为某一对象增加独享的答案性信息。</w:t>
            </w:r>
          </w:p>
        </w:tc>
      </w:tr>
      <w:tr w14:paraId="2BD0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1751380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测试后不补偿</w:t>
            </w:r>
          </w:p>
        </w:tc>
        <w:tc>
          <w:tcPr>
            <w:tcW w:w="737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A2A9106">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不得因为某个 Baseline 表现较差而单独补充材料。</w:t>
            </w:r>
          </w:p>
        </w:tc>
      </w:tr>
      <w:tr w14:paraId="29DF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7720D09A">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新材料处理</w:t>
            </w:r>
          </w:p>
        </w:tc>
        <w:tc>
          <w:tcPr>
            <w:tcW w:w="737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66B04F5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若必须增加新的基础材料，应形成新的 Input Pack 版本，并使受影响 Baseline 在相同输入条件下重新测试。</w:t>
            </w:r>
          </w:p>
        </w:tc>
      </w:tr>
      <w:tr w14:paraId="09BF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75B04685">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最小必要原则</w:t>
            </w:r>
          </w:p>
        </w:tc>
        <w:tc>
          <w:tcPr>
            <w:tcW w:w="737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64502FFA">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只包含完成本次复现准备判断所需材料，不人为加入已整理答案、风险结论或 ResearchOps 判断结构。</w:t>
            </w:r>
          </w:p>
        </w:tc>
      </w:tr>
      <w:tr w14:paraId="385F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27A325C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版本可追溯</w:t>
            </w:r>
          </w:p>
        </w:tc>
        <w:tc>
          <w:tcPr>
            <w:tcW w:w="737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3AA2351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保存正式名称、版本号和材料清单；后续 Raw Output 必须引用对应 Input Pack 版本。</w:t>
            </w:r>
          </w:p>
        </w:tc>
      </w:tr>
    </w:tbl>
    <w:p w14:paraId="2CF85721">
      <w:pPr>
        <w:widowControl/>
        <w:spacing w:after="80" w:line="276" w:lineRule="auto" w:before="0"/>
        <w:rPr>
          <w:rFonts w:ascii="Times New Roman" w:hAnsi="Times New Roman" w:eastAsia="宋体"/>
        </w:rPr>
      </w:pPr>
    </w:p>
    <w:p w14:paraId="38A98D2B">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2.3 Input Pack 与 ResearchOps 的隔离</w:t>
      </w:r>
    </w:p>
    <w:p w14:paraId="1885F87A">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统一 Input Pack 是测试输入材料，不是 ResearchOps 产品输出。不得提前放入以下内容：</w:t>
      </w:r>
    </w:p>
    <w:p w14:paraId="7530816A">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六维准备度卡结果；</w:t>
      </w:r>
    </w:p>
    <w:p w14:paraId="73002230">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“已满足 / 阻塞 / 未知”的预先判断；</w:t>
      </w:r>
    </w:p>
    <w:p w14:paraId="7EF72B87">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ResearchOps 已整理的风险优先级；</w:t>
      </w:r>
    </w:p>
    <w:p w14:paraId="79FE5EBB">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ResearchOps 生成的前三步行动；</w:t>
      </w:r>
    </w:p>
    <w:p w14:paraId="6C224BB3">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为某个 Baseline 专门准备的提示答案。</w:t>
      </w:r>
    </w:p>
    <w:p w14:paraId="72C67848">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3. Same-task Prompt</w:t>
      </w:r>
    </w:p>
    <w:p w14:paraId="17C0D10A">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3.1 冻结任务文本</w:t>
      </w:r>
    </w:p>
    <w:p w14:paraId="320AF9C4">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A、B、C 均使用相同的任务目标与六类输出要求。</w:t>
      </w:r>
    </w:p>
    <w:tbl>
      <w:tblPr>
        <w:tblStyle w:val="32"/>
        <w:tblW w:w="10086" w:type="dxa"/>
        <w:jc w:val="center"/>
        <w:tblLayout w:type="autofit"/>
        <w:tblCellMar>
          <w:top w:w="0" w:type="dxa"/>
          <w:left w:w="108" w:type="dxa"/>
          <w:bottom w:w="0" w:type="dxa"/>
          <w:right w:w="108" w:type="dxa"/>
        </w:tblCellMar>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10086"/>
      </w:tblGrid>
      <w:tr w14:paraId="6F952C86">
        <w:tblPrEx>
          <w:tblCellMar>
            <w:top w:w="0" w:type="dxa"/>
            <w:left w:w="108" w:type="dxa"/>
            <w:bottom w:w="0" w:type="dxa"/>
            <w:right w:w="108" w:type="dxa"/>
          </w:tblCellMar>
        </w:tblPrEx>
        <w:trPr>
          <w:jc w:val="center"/>
        </w:trPr>
        <w:tc>
          <w:tcPr>
            <w:tcW w:w="10086" w:type="dxa"/>
            <w:tcBorders>
              <w:top w:val="single" w:color="8EAADB" w:sz="8" w:space="0"/>
              <w:left w:val="single" w:color="8EAADB" w:sz="8" w:space="0"/>
              <w:bottom w:val="single" w:color="8EAADB" w:sz="8" w:space="0"/>
              <w:right w:val="single" w:color="8EAADB" w:sz="8" w:space="0"/>
            </w:tcBorders>
            <w:shd w:val="clear" w:color="auto" w:fill="EEF4FB"/>
            <w:tcMar>
              <w:top w:w="120" w:type="dxa"/>
              <w:left w:w="120" w:type="dxa"/>
              <w:bottom w:w="120" w:type="dxa"/>
              <w:right w:w="120" w:type="dxa"/>
            </w:tcMar>
            <w:vAlign w:val="center"/>
          </w:tcPr>
          <w:p w14:paraId="0B297D8C">
            <w:pPr>
              <w:spacing w:after="40" w:line="240" w:lineRule="auto" w:before="0"/>
              <w:rPr>
                <w:rFonts w:ascii="Times New Roman" w:hAnsi="Times New Roman" w:eastAsia="宋体"/>
              </w:rPr>
            </w:pPr>
            <w:r>
              <w:rPr>
                <w:rFonts w:ascii="Times New Roman" w:hAnsi="Times New Roman" w:eastAsia="Noto Sans CJK SC" w:cs="Times New Roman"/>
                <w:b/>
                <w:color w:val="000000"/>
                <w:sz w:val="19"/>
              </w:rPr>
              <w:t>Same-task Prompt V1</w:t>
            </w:r>
          </w:p>
          <w:p w14:paraId="29FCFE66">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请基于提供的 FGI 论文、仓库材料以及用户硬件 / 时间约束，判断当前是否适合开始复现。</w:t>
            </w:r>
          </w:p>
          <w:p w14:paraId="1EBE1315">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请输出：①总体决策：继续 / 有条件继续 / 暂停；②关键缺失项；③主要风险；④每个关键结论的证据出处；⑤无法确认的未知项；⑥下一步最重要的三件事。</w:t>
            </w:r>
          </w:p>
          <w:p w14:paraId="30398C99">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若现有信息不足以支持某项判断，必须明确标记为“未知”，不得自行猜测或补造事实。</w:t>
            </w:r>
          </w:p>
        </w:tc>
      </w:tr>
    </w:tbl>
    <w:p w14:paraId="2060DB89">
      <w:pPr>
        <w:widowControl/>
        <w:spacing w:after="80" w:line="276" w:lineRule="auto" w:before="0"/>
        <w:rPr>
          <w:rFonts w:ascii="Times New Roman" w:hAnsi="Times New Roman" w:eastAsia="宋体"/>
        </w:rPr>
      </w:pPr>
    </w:p>
    <w:p w14:paraId="23BFA331">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3.2 输出字段一致性</w:t>
      </w:r>
    </w:p>
    <w:tbl>
      <w:tblPr>
        <w:tblStyle w:val="33"/>
        <w:tblW w:w="9638"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380"/>
        <w:gridCol w:w="7258"/>
      </w:tblGrid>
      <w:tr w14:paraId="214B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2380"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66527867">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输出字段</w:t>
            </w:r>
          </w:p>
        </w:tc>
        <w:tc>
          <w:tcPr>
            <w:tcW w:w="725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4457268D">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统一要求</w:t>
            </w:r>
          </w:p>
        </w:tc>
      </w:tr>
      <w:tr w14:paraId="3E4B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6638BC3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总体决策</w:t>
            </w:r>
          </w:p>
        </w:tc>
        <w:tc>
          <w:tcPr>
            <w:tcW w:w="725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1093E67">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必须在“继续 / 有条件继续 / 暂停”中给出明确判断。</w:t>
            </w:r>
          </w:p>
        </w:tc>
      </w:tr>
      <w:tr w14:paraId="7137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1C9A4397">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关键缺失项</w:t>
            </w:r>
          </w:p>
        </w:tc>
        <w:tc>
          <w:tcPr>
            <w:tcW w:w="725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3B88620F">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列出当前影响复现准备判断的重要缺失信息。</w:t>
            </w:r>
          </w:p>
        </w:tc>
      </w:tr>
      <w:tr w14:paraId="4B73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EC97CC5">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主要风险</w:t>
            </w:r>
          </w:p>
        </w:tc>
        <w:tc>
          <w:tcPr>
            <w:tcW w:w="725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533847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列出当前开始复现可能面临的主要风险。</w:t>
            </w:r>
          </w:p>
        </w:tc>
      </w:tr>
      <w:tr w14:paraId="7D77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2F3E214F">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证据出处</w:t>
            </w:r>
          </w:p>
        </w:tc>
        <w:tc>
          <w:tcPr>
            <w:tcW w:w="725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1939892">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关键结论应对应到提供材料中的可定位依据。</w:t>
            </w:r>
          </w:p>
        </w:tc>
      </w:tr>
      <w:tr w14:paraId="01ED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C6614C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未知项</w:t>
            </w:r>
          </w:p>
        </w:tc>
        <w:tc>
          <w:tcPr>
            <w:tcW w:w="725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6E8051D">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无法根据现有材料确认的信息必须明确标记，不得将推测作为事实。</w:t>
            </w:r>
          </w:p>
        </w:tc>
      </w:tr>
      <w:tr w14:paraId="4C8B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6C6BAC5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前三步行动</w:t>
            </w:r>
          </w:p>
        </w:tc>
        <w:tc>
          <w:tcPr>
            <w:tcW w:w="725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6796067">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给出当前最优先的三项下一步行动，并体现基本依赖或优先顺序。</w:t>
            </w:r>
          </w:p>
        </w:tc>
      </w:tr>
    </w:tbl>
    <w:p w14:paraId="01D74869">
      <w:pPr>
        <w:widowControl/>
        <w:spacing w:after="80" w:line="276" w:lineRule="auto" w:before="0"/>
        <w:rPr>
          <w:rFonts w:ascii="Times New Roman" w:hAnsi="Times New Roman" w:eastAsia="宋体"/>
        </w:rPr>
      </w:pPr>
    </w:p>
    <w:p w14:paraId="654F2F95">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3.3 一致性规则</w:t>
      </w:r>
    </w:p>
    <w:p w14:paraId="3D08F160">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A / B / C 使用完全相同的任务目标和六类输出字段。</w:t>
      </w:r>
    </w:p>
    <w:p w14:paraId="6E10C61C">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不因 Baseline 类型或工具形态不同而单独增加、删除或改写任务要求。</w:t>
      </w:r>
    </w:p>
    <w:p w14:paraId="7A228863">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测试开始后不得因某个 Baseline 输出质量较差而临时修改 Prompt；如确认文本本身需要修订，应升版并对受影响 Baseline 在相同条件下重新执行。</w:t>
      </w:r>
    </w:p>
    <w:p w14:paraId="0FCF6FC0">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4. 搜索、联网与工具权限</w:t>
      </w:r>
    </w:p>
    <w:p w14:paraId="5C97F100">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4.1 基本原则</w:t>
      </w:r>
    </w:p>
    <w:p w14:paraId="296D06B4">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本轮测试用于观察不同现有解决方式在其正常使用条件下的真实表现，因此不强制三类对象具有完全相同的工具能力；不同对象天然具备的搜索、仓库读取或代码检索能力可以保留，但必须在测试记录中明确标注。不得人为向某一 Baseline 提供其他对象无法获得的答案性信息。</w:t>
      </w:r>
    </w:p>
    <w:p w14:paraId="46FD8938">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4.2 权限规则</w:t>
      </w:r>
    </w:p>
    <w:tbl>
      <w:tblPr>
        <w:tblStyle w:val="33"/>
        <w:tblW w:w="10090"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1814"/>
        <w:gridCol w:w="2438"/>
        <w:gridCol w:w="2380"/>
        <w:gridCol w:w="1757"/>
        <w:gridCol w:w="1701"/>
      </w:tblGrid>
      <w:tr w14:paraId="56CB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1814"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3F724A64">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对象</w:t>
            </w:r>
          </w:p>
        </w:tc>
        <w:tc>
          <w:tcPr>
            <w:tcW w:w="243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774D3D82">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搜索 / 联网</w:t>
            </w:r>
          </w:p>
        </w:tc>
        <w:tc>
          <w:tcPr>
            <w:tcW w:w="2380"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3384D2C0">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仓库读取</w:t>
            </w:r>
          </w:p>
        </w:tc>
        <w:tc>
          <w:tcPr>
            <w:tcW w:w="1757"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6B11592E">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命令执行</w:t>
            </w:r>
          </w:p>
        </w:tc>
        <w:tc>
          <w:tcPr>
            <w:tcW w:w="1701"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28CB05C3">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文件修改</w:t>
            </w:r>
          </w:p>
        </w:tc>
      </w:tr>
      <w:tr w14:paraId="02E1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69548AA">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A｜通用大模型</w:t>
            </w:r>
          </w:p>
        </w:tc>
        <w:tc>
          <w:tcPr>
            <w:tcW w:w="243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FC91F0E">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允许使用产品自身正常提供的联网 / 搜索能力；实际发生需记录</w:t>
            </w:r>
          </w:p>
        </w:tc>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2068B9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仅使用产品正常支持的附件、文件或仓库读取能力</w:t>
            </w:r>
          </w:p>
        </w:tc>
        <w:tc>
          <w:tcPr>
            <w:tcW w:w="1757"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613F7997">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不适用</w:t>
            </w:r>
          </w:p>
        </w:tc>
        <w:tc>
          <w:tcPr>
            <w:tcW w:w="1701"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F9262F6">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不得通过修改测试材料获得额外信息</w:t>
            </w:r>
          </w:p>
        </w:tc>
      </w:tr>
      <w:tr w14:paraId="0695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723337EE">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B｜人工现有流程</w:t>
            </w:r>
          </w:p>
        </w:tc>
        <w:tc>
          <w:tcPr>
            <w:tcW w:w="243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2739F46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允许普通搜索引擎、GitHub 搜索及 GitHub Issue 检索</w:t>
            </w:r>
          </w:p>
        </w:tc>
        <w:tc>
          <w:tcPr>
            <w:tcW w:w="238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145D5B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允许人工查看冻结材料、仓库、README、配置与脚本</w:t>
            </w:r>
          </w:p>
        </w:tc>
        <w:tc>
          <w:tcPr>
            <w:tcW w:w="1757"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249AB966">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仅进行人工信息核对，不执行实际复现流程</w:t>
            </w:r>
          </w:p>
        </w:tc>
        <w:tc>
          <w:tcPr>
            <w:tcW w:w="1701"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B78866C">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不修改冻结输入材料</w:t>
            </w:r>
          </w:p>
        </w:tc>
      </w:tr>
      <w:tr w14:paraId="3031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AFF284F">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C｜Codex</w:t>
            </w:r>
          </w:p>
        </w:tc>
        <w:tc>
          <w:tcPr>
            <w:tcW w:w="243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70E2C1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允许固定 Codex 形态正常提供的联网 / 搜索能力；实际能力需记录</w:t>
            </w:r>
          </w:p>
        </w:tc>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59D3D4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允许读取、搜索和定位冻结 FGI 仓库及 Input Pack</w:t>
            </w:r>
          </w:p>
        </w:tc>
        <w:tc>
          <w:tcPr>
            <w:tcW w:w="1757"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ABE49D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仅允许只读或信息获取型命令</w:t>
            </w:r>
          </w:p>
        </w:tc>
        <w:tc>
          <w:tcPr>
            <w:tcW w:w="1701"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7C19ADB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不允许修改冻结测试材料或通过代码修改改善测试结果</w:t>
            </w:r>
          </w:p>
        </w:tc>
      </w:tr>
    </w:tbl>
    <w:p w14:paraId="26C5EC8F">
      <w:pPr>
        <w:widowControl/>
        <w:spacing w:after="80" w:line="276" w:lineRule="auto" w:before="0"/>
        <w:rPr>
          <w:rFonts w:ascii="Times New Roman" w:hAnsi="Times New Roman" w:eastAsia="宋体"/>
        </w:rPr>
      </w:pPr>
    </w:p>
    <w:p w14:paraId="4F6AFF32">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4.3 Codex 命令边界</w:t>
      </w:r>
    </w:p>
    <w:p w14:paraId="079932B6">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允许：</w:t>
      </w:r>
      <w:r>
        <w:rPr>
          <w:rFonts w:ascii="Times New Roman" w:hAnsi="Times New Roman" w:eastAsia="Noto Sans CJK SC" w:cs="Times New Roman"/>
          <w:color w:val="000000"/>
          <w:sz w:val="19"/>
        </w:rPr>
        <w:t>用于理解仓库和确认现有信息的低风险、只读型操作。</w:t>
      </w:r>
    </w:p>
    <w:p w14:paraId="263F63AD">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查看目录与文件；</w:t>
      </w:r>
    </w:p>
    <w:p w14:paraId="6FD075B5">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搜索代码或配置；</w:t>
      </w:r>
    </w:p>
    <w:p w14:paraId="3E2756B7">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查看 Git 状态或 commit 信息；</w:t>
      </w:r>
    </w:p>
    <w:p w14:paraId="774CD8BA">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查看已有环境信息；</w:t>
      </w:r>
    </w:p>
    <w:p w14:paraId="760243D9">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读取配置、脚本和依赖声明。</w:t>
      </w:r>
    </w:p>
    <w:p w14:paraId="371F58F0">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不允许：</w:t>
      </w:r>
      <w:r>
        <w:rPr>
          <w:rFonts w:ascii="Times New Roman" w:hAnsi="Times New Roman" w:eastAsia="Noto Sans CJK SC" w:cs="Times New Roman"/>
          <w:color w:val="000000"/>
          <w:sz w:val="19"/>
        </w:rPr>
        <w:t>本轮不实际执行复现。</w:t>
      </w:r>
    </w:p>
    <w:p w14:paraId="1D810AF8">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安装或升级依赖；</w:t>
      </w:r>
    </w:p>
    <w:p w14:paraId="4A0272EC">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下载数据集或模型权重；</w:t>
      </w:r>
    </w:p>
    <w:p w14:paraId="52BF1458">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启动训练、推理或完整评测；</w:t>
      </w:r>
    </w:p>
    <w:p w14:paraId="05CEA583">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删除、覆盖或批量修改文件；</w:t>
      </w:r>
    </w:p>
    <w:p w14:paraId="6E2FA332">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为解决复现问题而直接修改项目代码。</w:t>
      </w:r>
    </w:p>
    <w:p w14:paraId="49BE862B">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若工具请求超出上述范围的权限，应记录请求内容，但不执行。</w:t>
      </w:r>
    </w:p>
    <w:p w14:paraId="3960CC60">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5. 追问规则</w:t>
      </w:r>
    </w:p>
    <w:p w14:paraId="4BD2A1B8">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5.1 基本规则</w:t>
      </w:r>
    </w:p>
    <w:p w14:paraId="6FFB5667">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Same-task Prompt 首次提交后，允许有限后续交互，以保留真实自由对话和工具使用场景，但不得通过追问向某一 Baseline 补充新的答案性材料。</w:t>
      </w:r>
    </w:p>
    <w:p w14:paraId="4528CBCA">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5.2 各对象规则</w:t>
      </w:r>
    </w:p>
    <w:tbl>
      <w:tblPr>
        <w:tblStyle w:val="33"/>
        <w:tblW w:w="9640"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552"/>
        <w:gridCol w:w="7088"/>
      </w:tblGrid>
      <w:tr w14:paraId="78C1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val="1"/>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6681F8FC">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对象</w:t>
            </w:r>
          </w:p>
        </w:tc>
        <w:tc>
          <w:tcPr>
            <w:tcW w:w="708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36396D8B">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追问规则</w:t>
            </w:r>
          </w:p>
        </w:tc>
      </w:tr>
      <w:tr w14:paraId="1505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B2132BF">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A｜通用大模型</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A9AF805">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最多允许 2 轮用户主动追问。</w:t>
            </w:r>
          </w:p>
        </w:tc>
      </w:tr>
      <w:tr w14:paraId="003E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1C75D34C">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B｜人工现有流程</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1225E5BE">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不适用模型追问；遇到无法确认的信息时按允许范围继续人工检索，仍无法确认则记录为未知。</w:t>
            </w:r>
          </w:p>
        </w:tc>
      </w:tr>
      <w:tr w14:paraId="1E9B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4E6560BD">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C｜Codex</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61E6CA27">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最多允许 2 轮用户主动追问；Codex 自主进行仓库内部读取、检索和分析不计为人工追问轮次。</w:t>
            </w:r>
          </w:p>
        </w:tc>
      </w:tr>
    </w:tbl>
    <w:p w14:paraId="2CAD72E9">
      <w:pPr>
        <w:widowControl/>
        <w:spacing w:after="80" w:line="276" w:lineRule="auto" w:before="0"/>
        <w:rPr>
          <w:rFonts w:ascii="Times New Roman" w:hAnsi="Times New Roman" w:eastAsia="宋体"/>
        </w:rPr>
      </w:pPr>
    </w:p>
    <w:p w14:paraId="2F6FEDE1">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允许的追问：</w:t>
      </w:r>
      <w:r>
        <w:rPr>
          <w:rFonts w:ascii="Times New Roman" w:hAnsi="Times New Roman" w:eastAsia="Noto Sans CJK SC" w:cs="Times New Roman"/>
          <w:color w:val="000000"/>
          <w:sz w:val="19"/>
        </w:rPr>
        <w:t>用于澄清已有回答、定位已有结论证据、解释已有风险 / 未知项、或把已有判断整理成统一输出字段。</w:t>
      </w:r>
    </w:p>
    <w:p w14:paraId="3A36B06A">
      <w:pPr>
        <w:widowControl/>
        <w:spacing w:after="80" w:line="276" w:lineRule="auto" w:before="0"/>
        <w:rPr>
          <w:rFonts w:ascii="Times New Roman" w:hAnsi="Times New Roman" w:eastAsia="宋体"/>
        </w:rPr>
      </w:pPr>
      <w:r>
        <w:rPr>
          <w:rFonts w:ascii="Times New Roman" w:hAnsi="Times New Roman" w:eastAsia="Noto Sans CJK SC" w:cs="Times New Roman"/>
          <w:b/>
          <w:color w:val="000000"/>
          <w:sz w:val="19"/>
        </w:rPr>
        <w:t>禁止的追问：</w:t>
      </w:r>
      <w:r>
        <w:rPr>
          <w:rFonts w:ascii="Times New Roman" w:hAnsi="Times New Roman" w:eastAsia="Noto Sans CJK SC" w:cs="Times New Roman"/>
          <w:color w:val="000000"/>
          <w:sz w:val="19"/>
        </w:rPr>
        <w:t>不得提供新材料、暗示遗漏的正确答案、指定“应该检查”的具体问题，或向表现较差对象提供针对性指导。</w:t>
      </w:r>
    </w:p>
    <w:p w14:paraId="7D8DE860">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所有追问内容和对应回答均完整保留。</w:t>
      </w:r>
    </w:p>
    <w:p w14:paraId="3A447D16">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6. 计时规则</w:t>
      </w:r>
    </w:p>
    <w:p w14:paraId="4ABFF89B">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6.1 计时起点</w:t>
      </w:r>
    </w:p>
    <w:p w14:paraId="4A010CA1">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统一定义为：执行者开始接触冻结 Input Pack 并正式开始执行 Same-task Prompt 对应任务的时刻。A / C 以正式提交任务为起点；B 以开始查阅统一材料并执行任务为起点。</w:t>
      </w:r>
    </w:p>
    <w:p w14:paraId="0645D772">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6.2 计时终点</w:t>
      </w:r>
    </w:p>
    <w:p w14:paraId="0AAB0C23">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统一定义为：完成六类要求输出，并形成明确“继续 / 有条件继续 / 暂停”决策以及前三步行动的时刻。</w:t>
      </w:r>
    </w:p>
    <w:p w14:paraId="276CB176">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6.3 时间上限</w:t>
      </w:r>
    </w:p>
    <w:p w14:paraId="24DAB42F">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每个 Baseline 单次测试设置 60 分钟硬性上限。若 60 分钟内仍无法形成完整决策，则停止测试并记录为 TIMEOUT；不得为了得到完整答案而在超时后继续执行并覆盖原始结果。</w:t>
      </w:r>
    </w:p>
    <w:p w14:paraId="2766AB2F">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6.4 记录要求</w:t>
      </w:r>
    </w:p>
    <w:p w14:paraId="25293726">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开始时间；</w:t>
      </w:r>
    </w:p>
    <w:p w14:paraId="643019C7">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结束时间；</w:t>
      </w:r>
    </w:p>
    <w:p w14:paraId="4F8D916A">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总耗时；</w:t>
      </w:r>
    </w:p>
    <w:p w14:paraId="3F85A068">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是否超时；</w:t>
      </w:r>
    </w:p>
    <w:p w14:paraId="55AEEECC">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A / C 的追问轮次；</w:t>
      </w:r>
    </w:p>
    <w:p w14:paraId="1F5BA547">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B 的搜索次数与材料切换次数；</w:t>
      </w:r>
    </w:p>
    <w:p w14:paraId="6C20EC94">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明显等待、报错或人工干预时间。</w:t>
      </w:r>
    </w:p>
    <w:p w14:paraId="3220EFF9">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时间 / 交互成本单独记录，不直接折算为质量评分。</w:t>
      </w:r>
    </w:p>
    <w:p w14:paraId="56BDD86F">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7. 失败与中断规则</w:t>
      </w:r>
    </w:p>
    <w:p w14:paraId="612E87E6">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7.1 基本原则</w:t>
      </w:r>
    </w:p>
    <w:p w14:paraId="435113E6">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失败、无法判断、工具报错和中断均属于有效测试结果，不得删除，也不得只保留成功输出。</w:t>
      </w:r>
    </w:p>
    <w:p w14:paraId="51396D05">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7.2 状态定义</w:t>
      </w:r>
    </w:p>
    <w:tbl>
      <w:tblPr>
        <w:tblStyle w:val="33"/>
        <w:tblW w:w="9640"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552"/>
        <w:gridCol w:w="7088"/>
      </w:tblGrid>
      <w:tr w14:paraId="1D57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4E06F63D">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状态</w:t>
            </w:r>
          </w:p>
        </w:tc>
        <w:tc>
          <w:tcPr>
            <w:tcW w:w="708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57E41166">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定义</w:t>
            </w:r>
          </w:p>
        </w:tc>
      </w:tr>
      <w:tr w14:paraId="7A24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3FA8E782">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COMPLETED</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1C423724">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在规定时间内完成统一任务并形成最终输出。</w:t>
            </w:r>
          </w:p>
        </w:tc>
      </w:tr>
      <w:tr w14:paraId="4941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B5874C5">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PARTIAL</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1C1FF8D">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完成部分输出，但存在明显缺失字段。</w:t>
            </w:r>
          </w:p>
        </w:tc>
      </w:tr>
      <w:tr w14:paraId="7A14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71C39FB6">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UNKNOWN</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153D910D">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因现有信息不足，无法形成部分关键判断。</w:t>
            </w:r>
          </w:p>
        </w:tc>
      </w:tr>
      <w:tr w14:paraId="7A2D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6DC9413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ACCESS_FAILURE</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7D79028">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无法读取必要材料、仓库或文件。</w:t>
            </w:r>
          </w:p>
        </w:tc>
      </w:tr>
      <w:tr w14:paraId="24DE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59722AE0">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TOOL_FAILURE</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B9243C2">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工具报错、崩溃或能力不可用。</w:t>
            </w:r>
          </w:p>
        </w:tc>
      </w:tr>
      <w:tr w14:paraId="4C49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7B020F4">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TIMEOUT</w:t>
            </w:r>
          </w:p>
        </w:tc>
        <w:tc>
          <w:tcPr>
            <w:tcW w:w="708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2325F13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超过 60 分钟仍未完成。</w:t>
            </w:r>
          </w:p>
        </w:tc>
      </w:tr>
      <w:tr w14:paraId="074F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797884FB">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INTERRUPTED</w:t>
            </w:r>
          </w:p>
        </w:tc>
        <w:tc>
          <w:tcPr>
            <w:tcW w:w="708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5C708ED">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因其他明确原因提前终止。</w:t>
            </w:r>
          </w:p>
        </w:tc>
      </w:tr>
    </w:tbl>
    <w:p w14:paraId="7A59C101">
      <w:pPr>
        <w:widowControl/>
        <w:spacing w:after="80" w:line="276" w:lineRule="auto" w:before="0"/>
        <w:rPr>
          <w:rFonts w:ascii="Times New Roman" w:hAnsi="Times New Roman" w:eastAsia="宋体"/>
        </w:rPr>
      </w:pPr>
    </w:p>
    <w:p w14:paraId="7EF1C685">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7.3 处理规则</w:t>
      </w:r>
    </w:p>
    <w:p w14:paraId="72D326F1">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保留已产生的全部原始过程；</w:t>
      </w:r>
    </w:p>
    <w:p w14:paraId="7040FDA3">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记录发生时间和原因；</w:t>
      </w:r>
    </w:p>
    <w:p w14:paraId="4DC5721C">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不删除失败输出；</w:t>
      </w:r>
    </w:p>
    <w:p w14:paraId="082A95F1">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不在原测试记录上继续补做后伪装成一次完整测试；</w:t>
      </w:r>
    </w:p>
    <w:p w14:paraId="1943811D">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若确认失败来自协议或 Input Pack 本身，应先修订并升版，再重新测试；</w:t>
      </w:r>
    </w:p>
    <w:p w14:paraId="06B18684">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若失败仅属于该 Baseline 自身能力限制，则作为真实结果保留。</w:t>
      </w:r>
    </w:p>
    <w:p w14:paraId="4DFE2026">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8. 原始记录与留档规则</w:t>
      </w:r>
    </w:p>
    <w:p w14:paraId="60B47D4B">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8.1 留档原则</w:t>
      </w:r>
    </w:p>
    <w:p w14:paraId="4F29D88C">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Baseline 测试必须保留完整原始过程，而不仅保存最终答案或最佳截图。原始输出不得覆盖、润色或事后整理后替代。</w:t>
      </w:r>
    </w:p>
    <w:p w14:paraId="69D7CFD9">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8.2 保存位置</w:t>
      </w:r>
    </w:p>
    <w:tbl>
      <w:tblPr>
        <w:tblStyle w:val="32"/>
        <w:tblW w:w="10086" w:type="dxa"/>
        <w:jc w:val="center"/>
        <w:tblLayout w:type="autofit"/>
        <w:tblCellMar>
          <w:top w:w="0" w:type="dxa"/>
          <w:left w:w="108" w:type="dxa"/>
          <w:bottom w:w="0" w:type="dxa"/>
          <w:right w:w="108" w:type="dxa"/>
        </w:tblCellMar>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10086"/>
      </w:tblGrid>
      <w:tr w14:paraId="09065E95">
        <w:tblPrEx>
          <w:tblCellMar>
            <w:top w:w="0" w:type="dxa"/>
            <w:left w:w="108" w:type="dxa"/>
            <w:bottom w:w="0" w:type="dxa"/>
            <w:right w:w="108" w:type="dxa"/>
          </w:tblCellMar>
        </w:tblPrEx>
        <w:trPr>
          <w:jc w:val="center"/>
        </w:trPr>
        <w:tc>
          <w:tcPr>
            <w:tcW w:w="10086" w:type="dxa"/>
            <w:tcBorders>
              <w:top w:val="single" w:color="BFBFBF" w:sz="8" w:space="0"/>
              <w:left w:val="single" w:color="BFBFBF" w:sz="8" w:space="0"/>
              <w:bottom w:val="single" w:color="BFBFBF" w:sz="8" w:space="0"/>
              <w:right w:val="single" w:color="BFBFBF" w:sz="8" w:space="0"/>
            </w:tcBorders>
            <w:shd w:val="clear" w:color="auto" w:fill="F7F7F7"/>
            <w:tcMar>
              <w:top w:w="120" w:type="dxa"/>
              <w:left w:w="120" w:type="dxa"/>
              <w:bottom w:w="120" w:type="dxa"/>
              <w:right w:w="120" w:type="dxa"/>
            </w:tcMar>
            <w:vAlign w:val="center"/>
          </w:tcPr>
          <w:p w14:paraId="7B549A8F">
            <w:pPr>
              <w:spacing w:after="40" w:line="240" w:lineRule="auto" w:before="0"/>
              <w:rPr>
                <w:rFonts w:ascii="Times New Roman" w:hAnsi="Times New Roman" w:eastAsia="宋体"/>
              </w:rPr>
            </w:pPr>
            <w:r>
              <w:rPr>
                <w:rFonts w:ascii="Times New Roman" w:hAnsi="Times New Roman" w:eastAsia="Noto Sans CJK SC" w:cs="Times New Roman"/>
                <w:b/>
                <w:color w:val="000000"/>
                <w:sz w:val="19"/>
              </w:rPr>
              <w:t>Raw Output 目录</w:t>
            </w:r>
          </w:p>
          <w:p w14:paraId="14D68063">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04_Async_Tests/20260809_Sprint2_Solution_Validation/01_Baseline_Test/04_Raw_Outputs/</w:t>
            </w:r>
          </w:p>
          <w:p w14:paraId="2AC313D3">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 Baseline_A_General_LLM/</w:t>
            </w:r>
          </w:p>
          <w:p w14:paraId="071761EB">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 Baseline_B_Manual_Workflow/</w:t>
            </w:r>
          </w:p>
          <w:p w14:paraId="40B83984">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 Baseline_C_Codex/</w:t>
            </w:r>
          </w:p>
        </w:tc>
      </w:tr>
    </w:tbl>
    <w:p w14:paraId="65EEC31E">
      <w:pPr>
        <w:widowControl/>
        <w:spacing w:after="80" w:line="276" w:lineRule="auto" w:before="0"/>
        <w:rPr>
          <w:rFonts w:ascii="Times New Roman" w:hAnsi="Times New Roman" w:eastAsia="宋体"/>
        </w:rPr>
      </w:pPr>
    </w:p>
    <w:p w14:paraId="5B5855AC">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8.3 每个 Baseline 最少记录字段</w:t>
      </w:r>
    </w:p>
    <w:tbl>
      <w:tblPr>
        <w:tblStyle w:val="33"/>
        <w:tblW w:w="9638" w:type="dxa"/>
        <w:jc w:val="center"/>
        <w:tblBorders>
          <w:top w:val="single" w:color="CAD7E2" w:sz="4" w:space="0"/>
          <w:left w:val="single" w:color="CAD7E2" w:sz="4" w:space="0"/>
          <w:bottom w:val="single" w:color="CAD7E2" w:sz="4" w:space="0"/>
          <w:right w:val="single" w:color="CAD7E2" w:sz="4" w:space="0"/>
          <w:insideH w:val="single" w:color="CAD7E2" w:sz="4" w:space="0"/>
          <w:insideV w:val="single" w:color="CAD7E2" w:sz="4" w:space="0"/>
        </w:tblBorders>
        <w:tblLayout w:type="autofit"/>
        <w:tblCellMar>
          <w:top w:w="0" w:type="dxa"/>
          <w:left w:w="108" w:type="dxa"/>
          <w:bottom w:w="0" w:type="dxa"/>
          <w:right w:w="108" w:type="dxa"/>
        </w:tblCellMar>
      </w:tblPr>
      <w:tblGrid>
        <w:gridCol w:w="2380"/>
        <w:gridCol w:w="7258"/>
      </w:tblGrid>
      <w:tr w14:paraId="58A6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1"/>
          <w:jc w:val="center"/>
        </w:trPr>
        <w:tc>
          <w:tcPr>
            <w:tcW w:w="2380"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331ED4C8">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字段组</w:t>
            </w:r>
          </w:p>
        </w:tc>
        <w:tc>
          <w:tcPr>
            <w:tcW w:w="7258" w:type="dxa"/>
            <w:tcBorders>
              <w:top w:val="single" w:color="B7C9E2" w:sz="4" w:space="0"/>
              <w:left w:val="single" w:color="B7C9E2" w:sz="4" w:space="0"/>
              <w:bottom w:val="single" w:color="B7C9E2" w:sz="4" w:space="0"/>
              <w:right w:val="single" w:color="B7C9E2" w:sz="4" w:space="0"/>
            </w:tcBorders>
            <w:shd w:val="clear" w:color="auto" w:fill="2F5597"/>
            <w:tcMar>
              <w:top w:w="120" w:type="dxa"/>
              <w:left w:w="120" w:type="dxa"/>
              <w:bottom w:w="120" w:type="dxa"/>
              <w:right w:w="120" w:type="dxa"/>
            </w:tcMar>
            <w:vAlign w:val="center"/>
          </w:tcPr>
          <w:p w14:paraId="22A59063">
            <w:pPr>
              <w:spacing w:before="0" w:after="40" w:line="240" w:lineRule="auto"/>
              <w:jc w:val="center"/>
              <w:rPr>
                <w:rFonts w:ascii="Times New Roman" w:hAnsi="Times New Roman" w:eastAsia="宋体"/>
              </w:rPr>
            </w:pPr>
            <w:r>
              <w:rPr>
                <w:rFonts w:ascii="Times New Roman" w:hAnsi="Times New Roman" w:eastAsia="Noto Sans CJK SC" w:cs="Times New Roman"/>
                <w:b/>
                <w:color w:val="FFFFFF"/>
                <w:sz w:val="17"/>
              </w:rPr>
              <w:t>最少记录内容</w:t>
            </w:r>
          </w:p>
        </w:tc>
      </w:tr>
      <w:tr w14:paraId="2435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CD73FF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对象与版本</w:t>
            </w:r>
          </w:p>
        </w:tc>
        <w:tc>
          <w:tcPr>
            <w:tcW w:w="725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0738F71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Baseline 对象；实际产品 / 工具 / 模型名称；实际版本或测试日期。</w:t>
            </w:r>
          </w:p>
        </w:tc>
      </w:tr>
      <w:tr w14:paraId="2E48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090CFA0">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输入与任务</w:t>
            </w:r>
          </w:p>
        </w:tc>
        <w:tc>
          <w:tcPr>
            <w:tcW w:w="725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4B9F606F">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Input Pack 版本；Same-task Prompt 版本；完整输入。</w:t>
            </w:r>
          </w:p>
        </w:tc>
      </w:tr>
      <w:tr w14:paraId="7A62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23DB8DE4">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时间</w:t>
            </w:r>
          </w:p>
        </w:tc>
        <w:tc>
          <w:tcPr>
            <w:tcW w:w="725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466ECCC3">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开始时间；结束时间；总耗时。</w:t>
            </w:r>
          </w:p>
        </w:tc>
      </w:tr>
      <w:tr w14:paraId="094E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59B1636E">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过程</w:t>
            </w:r>
          </w:p>
        </w:tc>
        <w:tc>
          <w:tcPr>
            <w:tcW w:w="7258" w:type="dxa"/>
            <w:tcBorders>
              <w:top w:val="single" w:color="B7C9E2" w:sz="4" w:space="0"/>
              <w:left w:val="single" w:color="B7C9E2" w:sz="4" w:space="0"/>
              <w:bottom w:val="single" w:color="B7C9E2" w:sz="4" w:space="0"/>
              <w:right w:val="single" w:color="B7C9E2" w:sz="4" w:space="0"/>
            </w:tcBorders>
            <w:shd w:val="clear" w:color="auto" w:fill="F2F6FA"/>
            <w:tcMar>
              <w:top w:w="120" w:type="dxa"/>
              <w:left w:w="120" w:type="dxa"/>
              <w:bottom w:w="120" w:type="dxa"/>
              <w:right w:w="120" w:type="dxa"/>
            </w:tcMar>
            <w:vAlign w:val="center"/>
          </w:tcPr>
          <w:p w14:paraId="67982FD9">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完整输出 / 人工过程记录；追问轮次；搜索与工具使用情况。</w:t>
            </w:r>
          </w:p>
        </w:tc>
      </w:tr>
      <w:tr w14:paraId="726F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0"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64BF963A">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结果</w:t>
            </w:r>
          </w:p>
        </w:tc>
        <w:tc>
          <w:tcPr>
            <w:tcW w:w="7258" w:type="dxa"/>
            <w:tcBorders>
              <w:top w:val="single" w:color="B7C9E2" w:sz="4" w:space="0"/>
              <w:left w:val="single" w:color="B7C9E2" w:sz="4" w:space="0"/>
              <w:bottom w:val="single" w:color="B7C9E2" w:sz="4" w:space="0"/>
              <w:right w:val="single" w:color="B7C9E2" w:sz="4" w:space="0"/>
            </w:tcBorders>
            <w:tcMar>
              <w:top w:w="120" w:type="dxa"/>
              <w:left w:w="120" w:type="dxa"/>
              <w:bottom w:w="120" w:type="dxa"/>
              <w:right w:w="120" w:type="dxa"/>
            </w:tcMar>
            <w:vAlign w:val="center"/>
            <w:shd w:val="clear" w:color="auto" w:fill="FFFFFF"/>
          </w:tcPr>
          <w:p w14:paraId="1781C9D1">
            <w:pPr>
              <w:spacing w:before="0" w:after="40" w:line="240" w:lineRule="auto"/>
              <w:rPr>
                <w:rFonts w:ascii="Times New Roman" w:hAnsi="Times New Roman" w:eastAsia="宋体"/>
              </w:rPr>
            </w:pPr>
            <w:r>
              <w:rPr>
                <w:rFonts w:ascii="Times New Roman" w:hAnsi="Times New Roman" w:eastAsia="Noto Sans CJK SC" w:cs="Times New Roman"/>
                <w:b w:val="0"/>
                <w:color w:val="000000"/>
                <w:sz w:val="18"/>
              </w:rPr>
              <w:t>失败 / 中断状态；原始输出文件路径；备注。</w:t>
            </w:r>
          </w:p>
        </w:tc>
      </w:tr>
    </w:tbl>
    <w:p w14:paraId="221BEE1E">
      <w:pPr>
        <w:widowControl/>
        <w:spacing w:after="80" w:line="276" w:lineRule="auto" w:before="0"/>
        <w:rPr>
          <w:rFonts w:ascii="Times New Roman" w:hAnsi="Times New Roman" w:eastAsia="宋体"/>
        </w:rPr>
      </w:pPr>
    </w:p>
    <w:p w14:paraId="192087B5">
      <w:pPr>
        <w:pStyle w:val="4"/>
        <w:widowControl/>
        <w:spacing w:before="140" w:after="60" w:line="240" w:lineRule="auto"/>
        <w:rPr>
          <w:rFonts w:ascii="Times New Roman" w:hAnsi="Times New Roman" w:eastAsia="宋体"/>
        </w:rPr>
      </w:pPr>
      <w:r>
        <w:rPr>
          <w:rFonts w:ascii="Times New Roman" w:hAnsi="Times New Roman" w:eastAsia="Noto Sans CJK SC" w:cs="Times New Roman"/>
          <w:b/>
          <w:color w:val="2F5597"/>
          <w:sz w:val="23"/>
        </w:rPr>
        <w:t>8.4 原始记录保护</w:t>
      </w:r>
    </w:p>
    <w:p w14:paraId="1F5280DF">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Raw Output 一旦测试结束即视为原始测试证据。后续评分、编码、断点提取和 Opportunity Map 均使用副本或分析文件完成，不直接修改 Raw Output。若发现原始记录存在错误，只允许增加补充说明，不覆盖原始内容。</w:t>
      </w:r>
    </w:p>
    <w:p w14:paraId="53C9681A">
      <w:pPr>
        <w:pStyle w:val="3"/>
        <w:widowControl/>
        <w:spacing w:before="200" w:after="100" w:line="240" w:lineRule="auto"/>
        <w:rPr>
          <w:rFonts w:ascii="Times New Roman" w:hAnsi="Times New Roman" w:eastAsia="宋体"/>
        </w:rPr>
      </w:pPr>
      <w:r>
        <w:rPr>
          <w:rFonts w:ascii="Times New Roman" w:hAnsi="Times New Roman" w:eastAsia="Noto Sans CJK SC" w:cs="Times New Roman"/>
          <w:b/>
          <w:color w:val="2F5597"/>
          <w:sz w:val="28"/>
        </w:rPr>
        <w:t>9. Freeze 条件</w:t>
      </w:r>
    </w:p>
    <w:p w14:paraId="7C1A3201">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Day 2 开始执行任何 Baseline 测试之前，以下内容必须全部冻结：</w:t>
      </w:r>
    </w:p>
    <w:p w14:paraId="617C1115">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A / B / C 的对象与角色；</w:t>
      </w:r>
    </w:p>
    <w:p w14:paraId="358ACE45">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20260809_FGI_Baseline_Input_Pack_V1；</w:t>
      </w:r>
    </w:p>
    <w:p w14:paraId="619E5E64">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输入材料一致性规则；</w:t>
      </w:r>
    </w:p>
    <w:p w14:paraId="068AF267">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Same-task Prompt V1；</w:t>
      </w:r>
    </w:p>
    <w:p w14:paraId="00AF5CE8">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搜索与联网规则；</w:t>
      </w:r>
    </w:p>
    <w:p w14:paraId="79361E4E">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工具与命令权限；</w:t>
      </w:r>
    </w:p>
    <w:p w14:paraId="4AE6A849">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追问规则；</w:t>
      </w:r>
    </w:p>
    <w:p w14:paraId="08508F84">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计时规则；</w:t>
      </w:r>
    </w:p>
    <w:p w14:paraId="1EC8BEB5">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失败 / 中断规则；</w:t>
      </w:r>
    </w:p>
    <w:p w14:paraId="248A1DB9">
      <w:pPr>
        <w:pStyle w:val="16"/>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原始记录与留档规则。</w:t>
      </w:r>
    </w:p>
    <w:tbl>
      <w:tblPr>
        <w:tblStyle w:val="32"/>
        <w:tblW w:w="10086" w:type="dxa"/>
        <w:jc w:val="center"/>
        <w:tblLayout w:type="autofit"/>
        <w:tblCellMar>
          <w:top w:w="0" w:type="dxa"/>
          <w:left w:w="108" w:type="dxa"/>
          <w:bottom w:w="0" w:type="dxa"/>
          <w:right w:w="108" w:type="dxa"/>
        </w:tblCellMar>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10086"/>
      </w:tblGrid>
      <w:tr w14:paraId="3B0E164F">
        <w:tblPrEx>
          <w:tblCellMar>
            <w:top w:w="0" w:type="dxa"/>
            <w:left w:w="108" w:type="dxa"/>
            <w:bottom w:w="0" w:type="dxa"/>
            <w:right w:w="108" w:type="dxa"/>
          </w:tblCellMar>
        </w:tblPrEx>
        <w:trPr>
          <w:jc w:val="center"/>
        </w:trPr>
        <w:tc>
          <w:tcPr>
            <w:tcW w:w="10086" w:type="dxa"/>
            <w:tcBorders>
              <w:top w:val="single" w:color="D6B656" w:sz="8" w:space="0"/>
              <w:left w:val="single" w:color="D6B656" w:sz="8" w:space="0"/>
              <w:bottom w:val="single" w:color="D6B656" w:sz="8" w:space="0"/>
              <w:right w:val="single" w:color="D6B656" w:sz="8" w:space="0"/>
            </w:tcBorders>
            <w:shd w:val="clear" w:color="auto" w:fill="FFF4E5"/>
            <w:tcMar>
              <w:top w:w="120" w:type="dxa"/>
              <w:left w:w="120" w:type="dxa"/>
              <w:bottom w:w="120" w:type="dxa"/>
              <w:right w:w="120" w:type="dxa"/>
            </w:tcMar>
            <w:vAlign w:val="center"/>
          </w:tcPr>
          <w:p w14:paraId="6036F650">
            <w:pPr>
              <w:spacing w:after="40" w:line="240" w:lineRule="auto" w:before="0"/>
              <w:rPr>
                <w:rFonts w:ascii="Times New Roman" w:hAnsi="Times New Roman" w:eastAsia="宋体"/>
              </w:rPr>
            </w:pPr>
            <w:r>
              <w:rPr>
                <w:rFonts w:ascii="Times New Roman" w:hAnsi="Times New Roman" w:eastAsia="Noto Sans CJK SC" w:cs="Times New Roman"/>
                <w:b/>
                <w:color w:val="000000"/>
                <w:sz w:val="19"/>
              </w:rPr>
              <w:t>Freeze 判定</w:t>
            </w:r>
          </w:p>
          <w:p w14:paraId="153A9914">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以上条件全部满足后，将协议状态改为：FREEZE。</w:t>
            </w:r>
          </w:p>
          <w:p w14:paraId="65C9FA21">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冻结版本：20260809_Baseline_Test_Protocol_V1。</w:t>
            </w:r>
          </w:p>
          <w:p w14:paraId="40A77353">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在 Input Pack 尚未完成材料清单和版本固定前，本协议保持 DRAFT，不得提前启动 Day 2 Baseline。</w:t>
            </w:r>
          </w:p>
        </w:tc>
      </w:tr>
    </w:tbl>
    <w:p w14:paraId="7B5F2DB9">
      <w:pPr>
        <w:widowControl/>
        <w:spacing w:after="80" w:line="276" w:lineRule="auto" w:before="0"/>
        <w:rPr>
          <w:rFonts w:ascii="Times New Roman" w:hAnsi="Times New Roman" w:eastAsia="宋体"/>
        </w:rPr>
      </w:pPr>
    </w:p>
    <w:p w14:paraId="3EE4A59C">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冻结后不得因某个 Baseline 表现较差而临时修改规则、补充独享材料或改变任务要求。</w:t>
      </w:r>
    </w:p>
    <w:p w14:paraId="4F35C570">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若测试开始后确认协议本身存在必须修订的问题，应按以下流程处理：</w:t>
      </w:r>
    </w:p>
    <w:p w14:paraId="641D734B">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记录修改原因；</w:t>
      </w:r>
    </w:p>
    <w:p w14:paraId="51526D5F">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形成新的 Protocol 版本；</w:t>
      </w:r>
    </w:p>
    <w:p w14:paraId="610BEDF1">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在 Decision Log 中记录“原规则 → 修改原因 → 新规则 → 影响范围”；</w:t>
      </w:r>
    </w:p>
    <w:p w14:paraId="6493161F">
      <w:pPr>
        <w:pStyle w:val="14"/>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对受到规则变化影响的 Baseline 在新条件下重新执行。</w:t>
      </w:r>
    </w:p>
    <w:p w14:paraId="3E07E8B8">
      <w:pPr>
        <w:widowControl/>
        <w:spacing w:after="80" w:line="276" w:lineRule="auto" w:before="0"/>
        <w:rPr>
          <w:rFonts w:ascii="Times New Roman" w:hAnsi="Times New Roman" w:eastAsia="宋体"/>
        </w:rPr>
      </w:pPr>
      <w:r>
        <w:rPr>
          <w:rFonts w:ascii="Times New Roman" w:hAnsi="Times New Roman" w:eastAsia="Noto Sans CJK SC" w:cs="Times New Roman"/>
          <w:color w:val="000000"/>
          <w:sz w:val="19"/>
        </w:rPr>
        <w:t>只有完成上述 Freeze 后，Day 2 才允许正式开始 Baseline 同题测试。</w:t>
      </w:r>
    </w:p>
    <w:tbl>
      <w:tblPr>
        <w:tblStyle w:val="32"/>
        <w:tblW w:w="10086" w:type="dxa"/>
        <w:jc w:val="center"/>
        <w:tblLayout w:type="autofit"/>
        <w:tblCellMar>
          <w:top w:w="0" w:type="dxa"/>
          <w:left w:w="108" w:type="dxa"/>
          <w:bottom w:w="0" w:type="dxa"/>
          <w:right w:w="108" w:type="dxa"/>
        </w:tblCellMar>
        <w:tblBorders>
          <w:top w:val="single" w:sz="4" w:space="0" w:color="CAD7E2"/>
          <w:left w:val="single" w:sz="4" w:space="0" w:color="CAD7E2"/>
          <w:bottom w:val="single" w:sz="4" w:space="0" w:color="CAD7E2"/>
          <w:right w:val="single" w:sz="4" w:space="0" w:color="CAD7E2"/>
          <w:insideH w:val="single" w:sz="4" w:space="0" w:color="CAD7E2"/>
          <w:insideV w:val="single" w:sz="4" w:space="0" w:color="CAD7E2"/>
        </w:tblBorders>
      </w:tblPr>
      <w:tblGrid>
        <w:gridCol w:w="10086"/>
      </w:tblGrid>
      <w:tr w14:paraId="3FD3DA0C">
        <w:tblPrEx>
          <w:tblCellMar>
            <w:top w:w="0" w:type="dxa"/>
            <w:left w:w="108" w:type="dxa"/>
            <w:bottom w:w="0" w:type="dxa"/>
            <w:right w:w="108" w:type="dxa"/>
          </w:tblCellMar>
        </w:tblPrEx>
        <w:trPr>
          <w:jc w:val="center"/>
        </w:trPr>
        <w:tc>
          <w:tcPr>
            <w:tcW w:w="10086" w:type="dxa"/>
            <w:tcBorders>
              <w:top w:val="single" w:color="A8C69F" w:sz="8" w:space="0"/>
              <w:left w:val="single" w:color="A8C69F" w:sz="8" w:space="0"/>
              <w:bottom w:val="single" w:color="A8C69F" w:sz="8" w:space="0"/>
              <w:right w:val="single" w:color="A8C69F" w:sz="8" w:space="0"/>
            </w:tcBorders>
            <w:shd w:val="clear" w:color="auto" w:fill="EEF7EE"/>
            <w:tcMar>
              <w:top w:w="120" w:type="dxa"/>
              <w:left w:w="120" w:type="dxa"/>
              <w:bottom w:w="120" w:type="dxa"/>
              <w:right w:w="120" w:type="dxa"/>
            </w:tcMar>
            <w:vAlign w:val="center"/>
          </w:tcPr>
          <w:p w14:paraId="58D4BE3F">
            <w:pPr>
              <w:spacing w:after="40" w:line="240" w:lineRule="auto" w:before="0"/>
              <w:rPr>
                <w:rFonts w:ascii="Times New Roman" w:hAnsi="Times New Roman" w:eastAsia="宋体"/>
              </w:rPr>
            </w:pPr>
            <w:r>
              <w:rPr>
                <w:rFonts w:ascii="Times New Roman" w:hAnsi="Times New Roman" w:eastAsia="Noto Sans CJK SC" w:cs="Times New Roman"/>
                <w:b/>
                <w:color w:val="000000"/>
                <w:sz w:val="19"/>
              </w:rPr>
              <w:t>与其他 Day 1 交付物的边界</w:t>
            </w:r>
          </w:p>
          <w:p w14:paraId="48123416">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本协议不包含 Baseline Rubric、H2/H3 Preregistration、Concept Test Protocol 或后续 Gate 2 判定规则。</w:t>
            </w:r>
          </w:p>
          <w:p w14:paraId="3BF3C81E">
            <w:pPr>
              <w:spacing w:after="40" w:line="240" w:lineRule="auto" w:before="0"/>
              <w:rPr>
                <w:rFonts w:ascii="Times New Roman" w:hAnsi="Times New Roman" w:eastAsia="宋体"/>
              </w:rPr>
            </w:pPr>
            <w:r>
              <w:rPr>
                <w:rFonts w:ascii="Times New Roman" w:hAnsi="Times New Roman" w:eastAsia="Noto Sans CJK SC" w:cs="Times New Roman"/>
                <w:color w:val="000000"/>
                <w:sz w:val="19"/>
              </w:rPr>
              <w:t>这些内容应分别进入对应正式交付物，避免多个文件重复维护同一规则。</w:t>
            </w:r>
          </w:p>
        </w:tc>
      </w:tr>
    </w:tbl>
    <w:p w14:paraId="4525A3FC">
      <w:pPr>
        <w:widowControl/>
        <w:spacing w:after="80" w:line="276" w:lineRule="auto" w:before="0"/>
        <w:rPr>
          <w:rFonts w:ascii="Times New Roman" w:hAnsi="Times New Roman" w:eastAsia="宋体"/>
        </w:rPr>
      </w:pPr>
    </w:p>
    <w:sectPr>
      <w:headerReference r:id="rId5" w:type="default"/>
      <w:footerReference r:id="rId6" w:type="default"/>
      <w:pgSz w:w="12240" w:h="15840"/>
      <w:pgMar w:top="1020" w:right="1077" w:bottom="963" w:left="1077" w:header="397"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rPr>
          <w:rFonts w:ascii="Noto Sans CJK SC" w:hAnsi="Noto Sans CJK SC" w:eastAsia="Noto Sans CJK SC" w:cs="Noto Sans CJK SC"/>
        </w:rPr>
        <w:separator/>
      </w:r>
    </w:p>
  </w:endnote>
  <w:endnote w:type="continuationSeparator" w:id="1">
    <w:p>
      <w:pPr>
        <w:spacing w:line="240" w:lineRule="auto"/>
      </w:pPr>
      <w:r>
        <w:rPr>
          <w:rFonts w:ascii="Noto Sans CJK SC" w:hAnsi="Noto Sans CJK SC" w:eastAsia="Noto Sans CJK SC" w:cs="Noto Sans CJK SC"/>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57898">
    <w:pPr>
      <w:pStyle w:val="24"/>
      <w:spacing w:before="0" w:after="0" w:line="240" w:lineRule="auto"/>
      <w:jc w:val="center"/>
    </w:pPr>
    <w:r>
      <w:rPr>
        <w:rFonts w:ascii="Times New Roman" w:hAnsi="Times New Roman" w:eastAsia="Noto Sans CJK SC" w:cs="Times New Roman"/>
        <w:color w:val="5B6573"/>
        <w:sz w:val="16"/>
      </w:rPr>
      <w:fldChar w:fldCharType="begin"/>
    </w:r>
    <w:r>
      <w:rPr>
        <w:rFonts w:ascii="Times New Roman" w:hAnsi="Times New Roman" w:eastAsia="Noto Sans CJK SC" w:cs="Times New Roman"/>
        <w:color w:val="5B6573"/>
        <w:sz w:val="16"/>
      </w:rPr>
      <w:instrText xml:space="preserve">PAGE</w:instrText>
    </w:r>
    <w:r>
      <w:rPr>
        <w:rFonts w:ascii="Times New Roman" w:hAnsi="Times New Roman" w:eastAsia="Noto Sans CJK SC" w:cs="Times New Roman"/>
        <w:color w:val="5B6573"/>
        <w:sz w:val="16"/>
      </w:rPr>
      <w:fldChar w:fldCharType="separate"/>
    </w:r>
    <w:r>
      <w:rPr>
        <w:rFonts w:ascii="Times New Roman" w:hAnsi="Times New Roman" w:eastAsia="Noto Sans CJK SC" w:cs="Times New Roman"/>
        <w:color w:val="5B6573"/>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rPr>
          <w:rFonts w:ascii="Noto Sans CJK SC" w:hAnsi="Noto Sans CJK SC" w:eastAsia="Noto Sans CJK SC" w:cs="Noto Sans CJK SC"/>
        </w:rPr>
        <w:separator/>
      </w:r>
    </w:p>
  </w:footnote>
  <w:footnote w:type="continuationSeparator" w:id="1">
    <w:p>
      <w:pPr>
        <w:spacing w:before="0" w:after="0" w:line="276" w:lineRule="auto"/>
      </w:pPr>
      <w:r>
        <w:rPr>
          <w:rFonts w:ascii="Noto Sans CJK SC" w:hAnsi="Noto Sans CJK SC" w:eastAsia="Noto Sans CJK SC" w:cs="Noto Sans CJK SC"/>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458D8">
    <w:pPr>
      <w:pStyle w:val="25"/>
      <w:spacing w:before="0" w:after="0" w:line="240" w:lineRule="auto"/>
      <w:jc w:val="right"/>
    </w:pPr>
    <w:r>
      <w:rPr>
        <w:rFonts w:ascii="Times New Roman" w:hAnsi="Times New Roman" w:eastAsia="Noto Sans CJK SC" w:cs="Times New Roman"/>
        <w:b w:val="0"/>
        <w:color w:val="5B6573"/>
        <w:sz w:val="16"/>
      </w:rPr>
      <w:t>ResearchOps · Sprint 2 · Baseline Test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B10B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spacing w:after="80" w:line="276" w:lineRule="auto" w:before="0"/>
    </w:pPr>
    <w:rPr>
      <w:rFonts w:ascii="Times New Roman" w:hAnsi="Times New Roman" w:eastAsia="Noto Sans CJK SC" w:cstheme="minorBidi" w:cs="Times New Roman"/>
      <w:b w:val="0"/>
      <w:color w:val="000000"/>
      <w:sz w:val="19"/>
      <w:szCs w:val="22"/>
      <w:lang w:val="en-US" w:eastAsia="en-US" w:bidi="ar-SA"/>
    </w:rPr>
  </w:style>
  <w:style w:type="paragraph" w:styleId="3">
    <w:name w:val="heading 1"/>
    <w:basedOn w:val="1"/>
    <w:next w:val="1"/>
    <w:link w:val="138"/>
    <w:qFormat/>
    <w:uiPriority w:val="9"/>
    <w:pPr>
      <w:keepNext w:val="0"/>
      <w:keepLines w:val="0"/>
      <w:pageBreakBefore w:val="0"/>
      <w:spacing w:before="200" w:after="100" w:line="240" w:lineRule="auto"/>
      <w:outlineLvl w:val="0"/>
    </w:pPr>
    <w:rPr>
      <w:rFonts w:asciiTheme="majorHAnsi" w:hAnsiTheme="majorHAnsi" w:eastAsiaTheme="majorEastAsia" w:cstheme="majorBidi" w:ascii="Times New Roman" w:hAnsi="Times New Roman" w:eastAsia="Noto Sans CJK SC" w:cs="Times New Roman"/>
      <w:b/>
      <w:bCs/>
      <w:color w:val="2F5597"/>
      <w:sz w:val="28"/>
      <w:szCs w:val="28"/>
    </w:rPr>
  </w:style>
  <w:style w:type="paragraph" w:styleId="4">
    <w:name w:val="heading 2"/>
    <w:basedOn w:val="1"/>
    <w:next w:val="1"/>
    <w:link w:val="139"/>
    <w:unhideWhenUsed/>
    <w:qFormat/>
    <w:uiPriority w:val="9"/>
    <w:pPr>
      <w:keepNext w:val="0"/>
      <w:keepLines w:val="0"/>
      <w:pageBreakBefore w:val="0"/>
      <w:spacing w:before="140" w:after="60" w:line="240" w:lineRule="auto"/>
      <w:outlineLvl w:val="1"/>
    </w:pPr>
    <w:rPr>
      <w:rFonts w:asciiTheme="majorHAnsi" w:hAnsiTheme="majorHAnsi" w:eastAsiaTheme="majorEastAsia" w:cstheme="majorBidi" w:ascii="Times New Roman" w:hAnsi="Times New Roman" w:eastAsia="Noto Sans CJK SC" w:cs="Times New Roman"/>
      <w:b/>
      <w:bCs/>
      <w:color w:val="2F5597"/>
      <w:sz w:val="23"/>
      <w:szCs w:val="26"/>
    </w:rPr>
  </w:style>
  <w:style w:type="paragraph" w:styleId="5">
    <w:name w:val="heading 3"/>
    <w:basedOn w:val="1"/>
    <w:next w:val="1"/>
    <w:link w:val="140"/>
    <w:unhideWhenUsed/>
    <w:qFormat/>
    <w:uiPriority w:val="9"/>
    <w:pPr>
      <w:keepNext w:val="0"/>
      <w:keepLines w:val="0"/>
      <w:pageBreakBefore w:val="0"/>
      <w:spacing w:before="160" w:after="80" w:line="252" w:lineRule="auto"/>
      <w:outlineLvl w:val="2"/>
    </w:pPr>
    <w:rPr>
      <w:rFonts w:asciiTheme="majorHAnsi" w:hAnsiTheme="majorHAnsi" w:eastAsiaTheme="majorEastAsia" w:cstheme="majorBidi" w:ascii="Noto Sans CJK SC" w:hAnsi="Noto Sans CJK SC" w:eastAsia="Noto Sans CJK SC" w:cs="Noto Sans CJK SC"/>
      <w:b/>
      <w:bCs/>
      <w:color w:val="2F6B9A"/>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ascii="Noto Sans CJK SC" w:hAnsi="Noto Sans CJK SC" w:eastAsia="Noto Sans CJK SC" w:cs="Noto Sans CJK SC"/>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ascii="Noto Sans CJK SC" w:hAnsi="Noto Sans CJK SC" w:eastAsia="Noto Sans CJK SC" w:cs="Noto Sans CJK SC"/>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ascii="Noto Sans CJK SC" w:hAnsi="Noto Sans CJK SC" w:eastAsia="Noto Sans CJK SC" w:cs="Noto Sans CJK SC"/>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ascii="Noto Sans CJK SC" w:hAnsi="Noto Sans CJK SC" w:eastAsia="Noto Sans CJK SC" w:cs="Noto Sans CJK SC"/>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ascii="Noto Sans CJK SC" w:hAnsi="Noto Sans CJK SC" w:eastAsia="Noto Sans CJK SC" w:cs="Noto Sans CJK SC"/>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ascii="Noto Sans CJK SC" w:hAnsi="Noto Sans CJK SC" w:eastAsia="Noto Sans CJK SC" w:cs="Noto Sans CJK SC"/>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Noto Sans CJK SC" w:hAnsi="Noto Sans CJK SC" w:eastAsia="Noto Sans CJK SC" w:cs="Noto Sans CJK SC"/>
    </w:rPr>
  </w:style>
  <w:style w:type="table" w:default="1" w:styleId="32">
    <w:name w:val="Normal Table"/>
    <w:semiHidden/>
    <w:unhideWhenUsed/>
    <w:uiPriority w:val="99"/>
    <w:rPr>
      <w:rFonts w:ascii="Noto Sans CJK SC" w:hAnsi="Noto Sans CJK SC" w:eastAsia="Noto Sans CJK SC" w:cs="Noto Sans CJK SC"/>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Noto Sans CJK SC" w:hAnsi="Noto Sans CJK SC" w:eastAsiaTheme="minorEastAsia" w:cstheme="minorBidi" w:eastAsia="Noto Sans CJK SC" w:cs="Noto Sans CJK SC"/>
      <w:sz w:val="20"/>
      <w:szCs w:val="20"/>
      <w:lang w:val="en-US" w:eastAsia="en-US" w:bidi="ar-SA"/>
    </w:rPr>
  </w:style>
  <w:style w:type="paragraph" w:styleId="12">
    <w:name w:val="List 3"/>
    <w:basedOn w:val="1"/>
    <w:unhideWhenUsed/>
    <w:uiPriority w:val="99"/>
    <w:pPr>
      <w:ind w:left="1080" w:hanging="360"/>
      <w:contextualSpacing/>
    </w:pPr>
    <w:rPr>
      <w:rFonts w:ascii="Noto Sans CJK SC" w:hAnsi="Noto Sans CJK SC" w:eastAsia="Noto Sans CJK SC" w:cs="Noto Sans CJK SC"/>
    </w:rPr>
  </w:style>
  <w:style w:type="paragraph" w:styleId="13">
    <w:name w:val="List Number 2"/>
    <w:basedOn w:val="1"/>
    <w:unhideWhenUsed/>
    <w:uiPriority w:val="99"/>
    <w:pPr>
      <w:numPr>
        <w:ilvl w:val="0"/>
        <w:numId w:val="1"/>
      </w:numPr>
      <w:contextualSpacing/>
    </w:pPr>
    <w:rPr>
      <w:rFonts w:ascii="Noto Sans CJK SC" w:hAnsi="Noto Sans CJK SC" w:eastAsia="Noto Sans CJK SC" w:cs="Noto Sans CJK SC"/>
    </w:rPr>
  </w:style>
  <w:style w:type="paragraph" w:styleId="14">
    <w:name w:val="List Number"/>
    <w:basedOn w:val="1"/>
    <w:unhideWhenUsed/>
    <w:uiPriority w:val="99"/>
    <w:pPr>
      <w:numPr>
        <w:ilvl w:val="0"/>
        <w:numId w:val="2"/>
      </w:numPr>
      <w:contextualSpacing/>
    </w:pPr>
    <w:rPr>
      <w:rFonts w:ascii="Noto Sans CJK SC" w:hAnsi="Noto Sans CJK SC" w:eastAsia="Noto Sans CJK SC" w:cs="Noto Sans CJK SC"/>
    </w:rPr>
  </w:style>
  <w:style w:type="paragraph" w:styleId="15">
    <w:name w:val="caption"/>
    <w:basedOn w:val="1"/>
    <w:next w:val="1"/>
    <w:semiHidden/>
    <w:unhideWhenUsed/>
    <w:qFormat/>
    <w:uiPriority w:val="35"/>
    <w:pPr>
      <w:spacing w:line="240" w:lineRule="auto"/>
    </w:pPr>
    <w:rPr>
      <w:rFonts w:ascii="Noto Sans CJK SC" w:hAnsi="Noto Sans CJK SC" w:eastAsia="Noto Sans CJK SC" w:cs="Noto Sans CJK SC"/>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cs="Noto Sans CJK SC"/>
    </w:rPr>
  </w:style>
  <w:style w:type="paragraph" w:styleId="17">
    <w:name w:val="Body Text 3"/>
    <w:basedOn w:val="1"/>
    <w:link w:val="146"/>
    <w:unhideWhenUsed/>
    <w:uiPriority w:val="99"/>
    <w:pPr>
      <w:spacing w:after="120"/>
    </w:pPr>
    <w:rPr>
      <w:rFonts w:ascii="Noto Sans CJK SC" w:hAnsi="Noto Sans CJK SC" w:eastAsia="Noto Sans CJK SC" w:cs="Noto Sans CJK SC"/>
      <w:sz w:val="16"/>
      <w:szCs w:val="16"/>
    </w:rPr>
  </w:style>
  <w:style w:type="paragraph" w:styleId="18">
    <w:name w:val="List Bullet 3"/>
    <w:basedOn w:val="1"/>
    <w:unhideWhenUsed/>
    <w:uiPriority w:val="99"/>
    <w:pPr>
      <w:numPr>
        <w:ilvl w:val="0"/>
        <w:numId w:val="4"/>
      </w:numPr>
      <w:contextualSpacing/>
    </w:pPr>
    <w:rPr>
      <w:rFonts w:ascii="Noto Sans CJK SC" w:hAnsi="Noto Sans CJK SC" w:eastAsia="Noto Sans CJK SC" w:cs="Noto Sans CJK SC"/>
    </w:rPr>
  </w:style>
  <w:style w:type="paragraph" w:styleId="19">
    <w:name w:val="Body Text"/>
    <w:basedOn w:val="1"/>
    <w:link w:val="144"/>
    <w:unhideWhenUsed/>
    <w:uiPriority w:val="99"/>
    <w:pPr>
      <w:spacing w:after="120"/>
    </w:pPr>
    <w:rPr>
      <w:rFonts w:ascii="Noto Sans CJK SC" w:hAnsi="Noto Sans CJK SC" w:eastAsia="Noto Sans CJK SC" w:cs="Noto Sans CJK SC"/>
    </w:rPr>
  </w:style>
  <w:style w:type="paragraph" w:styleId="20">
    <w:name w:val="List Number 3"/>
    <w:basedOn w:val="1"/>
    <w:unhideWhenUsed/>
    <w:uiPriority w:val="99"/>
    <w:pPr>
      <w:numPr>
        <w:ilvl w:val="0"/>
        <w:numId w:val="5"/>
      </w:numPr>
      <w:contextualSpacing/>
    </w:pPr>
    <w:rPr>
      <w:rFonts w:ascii="Noto Sans CJK SC" w:hAnsi="Noto Sans CJK SC" w:eastAsia="Noto Sans CJK SC" w:cs="Noto Sans CJK SC"/>
    </w:rPr>
  </w:style>
  <w:style w:type="paragraph" w:styleId="21">
    <w:name w:val="List 2"/>
    <w:basedOn w:val="1"/>
    <w:unhideWhenUsed/>
    <w:uiPriority w:val="99"/>
    <w:pPr>
      <w:ind w:left="720" w:hanging="360"/>
      <w:contextualSpacing/>
    </w:pPr>
    <w:rPr>
      <w:rFonts w:ascii="Noto Sans CJK SC" w:hAnsi="Noto Sans CJK SC" w:eastAsia="Noto Sans CJK SC" w:cs="Noto Sans CJK SC"/>
    </w:rPr>
  </w:style>
  <w:style w:type="paragraph" w:styleId="22">
    <w:name w:val="List Continue"/>
    <w:basedOn w:val="1"/>
    <w:unhideWhenUsed/>
    <w:uiPriority w:val="99"/>
    <w:pPr>
      <w:spacing w:after="120"/>
      <w:ind w:left="360"/>
      <w:contextualSpacing/>
    </w:pPr>
    <w:rPr>
      <w:rFonts w:ascii="Noto Sans CJK SC" w:hAnsi="Noto Sans CJK SC" w:eastAsia="Noto Sans CJK SC" w:cs="Noto Sans CJK SC"/>
    </w:rPr>
  </w:style>
  <w:style w:type="paragraph" w:styleId="23">
    <w:name w:val="List Bullet 2"/>
    <w:basedOn w:val="1"/>
    <w:unhideWhenUsed/>
    <w:uiPriority w:val="99"/>
    <w:pPr>
      <w:numPr>
        <w:ilvl w:val="0"/>
        <w:numId w:val="6"/>
      </w:numPr>
      <w:contextualSpacing/>
    </w:pPr>
    <w:rPr>
      <w:rFonts w:ascii="Noto Sans CJK SC" w:hAnsi="Noto Sans CJK SC" w:eastAsia="Noto Sans CJK SC" w:cs="Noto Sans CJK SC"/>
    </w:rPr>
  </w:style>
  <w:style w:type="paragraph" w:styleId="24">
    <w:name w:val="footer"/>
    <w:basedOn w:val="1"/>
    <w:link w:val="136"/>
    <w:unhideWhenUsed/>
    <w:uiPriority w:val="99"/>
    <w:pPr>
      <w:keepNext w:val="0"/>
      <w:keepLines w:val="0"/>
      <w:pageBreakBefore w:val="0"/>
      <w:tabs>
        <w:tab w:val="center" w:pos="4680"/>
        <w:tab w:val="right" w:pos="9360"/>
      </w:tabs>
      <w:spacing w:after="0" w:line="240" w:lineRule="auto" w:before="0"/>
    </w:pPr>
    <w:rPr>
      <w:rFonts w:ascii="Noto Sans CJK SC" w:hAnsi="Noto Sans CJK SC" w:eastAsia="Noto Sans CJK SC" w:cs="Noto Sans CJK SC"/>
      <w:b w:val="0"/>
      <w:color w:val="64748B"/>
      <w:sz w:val="17"/>
    </w:rPr>
  </w:style>
  <w:style w:type="paragraph" w:styleId="25">
    <w:name w:val="header"/>
    <w:basedOn w:val="1"/>
    <w:link w:val="135"/>
    <w:unhideWhenUsed/>
    <w:uiPriority w:val="99"/>
    <w:pPr>
      <w:keepNext w:val="0"/>
      <w:keepLines w:val="0"/>
      <w:pageBreakBefore w:val="0"/>
      <w:tabs>
        <w:tab w:val="center" w:pos="4680"/>
        <w:tab w:val="right" w:pos="9360"/>
      </w:tabs>
      <w:spacing w:after="0" w:line="240" w:lineRule="auto" w:before="0"/>
    </w:pPr>
    <w:rPr>
      <w:rFonts w:ascii="Noto Sans CJK SC" w:hAnsi="Noto Sans CJK SC" w:eastAsia="Noto Sans CJK SC" w:cs="Noto Sans CJK SC"/>
      <w:b w:val="0"/>
      <w:color w:val="64748B"/>
      <w:sz w:val="17"/>
    </w:rPr>
  </w:style>
  <w:style w:type="paragraph" w:styleId="26">
    <w:name w:val="Subtitle"/>
    <w:basedOn w:val="1"/>
    <w:next w:val="1"/>
    <w:link w:val="142"/>
    <w:qFormat/>
    <w:uiPriority w:val="11"/>
    <w:rPr>
      <w:rFonts w:asciiTheme="majorHAnsi" w:hAnsiTheme="majorHAnsi" w:eastAsiaTheme="majorEastAsia" w:cstheme="majorBidi" w:ascii="Noto Sans CJK SC" w:hAnsi="Noto Sans CJK SC" w:eastAsia="Noto Sans CJK SC" w:cs="Noto Sans CJK SC"/>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Noto Sans CJK SC" w:hAnsi="Noto Sans CJK SC" w:eastAsia="Noto Sans CJK SC" w:cs="Noto Sans CJK SC"/>
    </w:rPr>
  </w:style>
  <w:style w:type="paragraph" w:styleId="28">
    <w:name w:val="Body Text 2"/>
    <w:basedOn w:val="1"/>
    <w:link w:val="145"/>
    <w:unhideWhenUsed/>
    <w:uiPriority w:val="99"/>
    <w:pPr>
      <w:spacing w:after="120" w:line="480" w:lineRule="auto"/>
    </w:pPr>
    <w:rPr>
      <w:rFonts w:ascii="Noto Sans CJK SC" w:hAnsi="Noto Sans CJK SC" w:eastAsia="Noto Sans CJK SC" w:cs="Noto Sans CJK SC"/>
    </w:rPr>
  </w:style>
  <w:style w:type="paragraph" w:styleId="29">
    <w:name w:val="List Continue 2"/>
    <w:basedOn w:val="1"/>
    <w:unhideWhenUsed/>
    <w:uiPriority w:val="99"/>
    <w:pPr>
      <w:spacing w:after="120"/>
      <w:ind w:left="720"/>
      <w:contextualSpacing/>
    </w:pPr>
    <w:rPr>
      <w:rFonts w:ascii="Noto Sans CJK SC" w:hAnsi="Noto Sans CJK SC" w:eastAsia="Noto Sans CJK SC" w:cs="Noto Sans CJK SC"/>
    </w:rPr>
  </w:style>
  <w:style w:type="paragraph" w:styleId="30">
    <w:name w:val="List Continue 3"/>
    <w:basedOn w:val="1"/>
    <w:unhideWhenUsed/>
    <w:uiPriority w:val="99"/>
    <w:pPr>
      <w:spacing w:after="120"/>
      <w:ind w:left="1080"/>
      <w:contextualSpacing/>
    </w:pPr>
    <w:rPr>
      <w:rFonts w:ascii="Noto Sans CJK SC" w:hAnsi="Noto Sans CJK SC" w:eastAsia="Noto Sans CJK SC" w:cs="Noto Sans CJK SC"/>
    </w:rPr>
  </w:style>
  <w:style w:type="paragraph" w:styleId="31">
    <w:name w:val="Title"/>
    <w:basedOn w:val="1"/>
    <w:next w:val="1"/>
    <w:link w:val="141"/>
    <w:qFormat/>
    <w:uiPriority w:val="10"/>
    <w:pPr>
      <w:keepNext w:val="0"/>
      <w:keepLines w:val="0"/>
      <w:pageBreakBefore w:val="0"/>
      <w:pBdr>
        <w:bottom w:val="single" w:color="4F81BD" w:themeColor="accent1" w:sz="8" w:space="4"/>
      </w:pBdr>
      <w:spacing w:before="0" w:after="160" w:line="240" w:lineRule="auto"/>
      <w:contextualSpacing/>
    </w:pPr>
    <w:rPr>
      <w:rFonts w:asciiTheme="majorHAnsi" w:hAnsiTheme="majorHAnsi" w:eastAsiaTheme="majorEastAsia" w:cstheme="majorBidi" w:ascii="Times New Roman" w:hAnsi="Times New Roman" w:eastAsia="Noto Sans CJK SC" w:cs="Times New Roman"/>
      <w:b/>
      <w:color w:val="17365D"/>
      <w:spacing w:val="5"/>
      <w:kern w:val="28"/>
      <w:sz w:val="40"/>
      <w:szCs w:val="52"/>
    </w:rPr>
  </w:style>
  <w:style w:type="table" w:styleId="33">
    <w:name w:val="Table Grid"/>
    <w:basedOn w:val="32"/>
    <w:uiPriority w:val="59"/>
    <w:pPr>
      <w:spacing w:after="0" w:line="240" w:lineRule="auto"/>
    </w:pPr>
    <w:rPr>
      <w:rFonts w:ascii="Noto Sans CJK SC" w:hAnsi="Noto Sans CJK SC" w:eastAsia="Noto Sans CJK SC" w:cs="Noto Sans CJK S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Noto Sans CJK SC" w:hAnsi="Noto Sans CJK SC" w:eastAsia="Noto Sans CJK SC" w:cs="Noto Sans CJK SC"/>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Noto Sans CJK SC" w:hAnsi="Noto Sans CJK SC" w:eastAsia="Noto Sans CJK SC" w:cs="Noto Sans CJK SC"/>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Noto Sans CJK SC" w:hAnsi="Noto Sans CJK SC" w:eastAsia="Noto Sans CJK SC" w:cs="Noto Sans CJK SC"/>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Noto Sans CJK SC" w:hAnsi="Noto Sans CJK SC" w:eastAsia="Noto Sans CJK SC" w:cs="Noto Sans CJK SC"/>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Noto Sans CJK SC" w:hAnsi="Noto Sans CJK SC" w:eastAsia="Noto Sans CJK SC" w:cs="Noto Sans CJK SC"/>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Noto Sans CJK SC" w:hAnsi="Noto Sans CJK SC" w:eastAsia="Noto Sans CJK SC" w:cs="Noto Sans CJK SC"/>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Noto Sans CJK SC" w:hAnsi="Noto Sans CJK SC" w:eastAsia="Noto Sans CJK SC" w:cs="Noto Sans CJK SC"/>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Noto Sans CJK SC" w:hAnsi="Noto Sans CJK SC" w:eastAsia="Noto Sans CJK SC" w:cs="Noto Sans CJK SC"/>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Noto Sans CJK SC" w:hAnsi="Noto Sans CJK SC" w:eastAsia="Noto Sans CJK SC" w:cs="Noto Sans CJK SC"/>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Noto Sans CJK SC" w:hAnsi="Noto Sans CJK SC" w:eastAsia="Noto Sans CJK SC" w:cs="Noto Sans CJK SC"/>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Noto Sans CJK SC" w:hAnsi="Noto Sans CJK SC" w:eastAsia="Noto Sans CJK SC" w:cs="Noto Sans CJK SC"/>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Noto Sans CJK SC" w:hAnsi="Noto Sans CJK SC" w:eastAsia="Noto Sans CJK SC" w:cs="Noto Sans CJK SC"/>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Noto Sans CJK SC" w:hAnsi="Noto Sans CJK SC" w:eastAsia="Noto Sans CJK SC" w:cs="Noto Sans CJK SC"/>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Noto Sans CJK SC" w:hAnsi="Noto Sans CJK SC" w:eastAsia="Noto Sans CJK SC" w:cs="Noto Sans CJK SC"/>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Noto Sans CJK SC" w:hAnsi="Noto Sans CJK SC" w:eastAsia="Noto Sans CJK SC" w:cs="Noto Sans CJK SC"/>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Noto Sans CJK SC" w:hAnsi="Noto Sans CJK SC" w:eastAsia="Noto Sans CJK SC" w:cs="Noto Sans CJK SC"/>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Noto Sans CJK SC" w:hAnsi="Noto Sans CJK SC" w:eastAsia="Noto Sans CJK SC" w:cs="Noto Sans CJK SC"/>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Noto Sans CJK SC" w:hAnsi="Noto Sans CJK SC" w:eastAsia="Noto Sans CJK SC" w:cs="Noto Sans CJK SC"/>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Noto Sans CJK SC" w:hAnsi="Noto Sans CJK SC" w:eastAsia="Noto Sans CJK SC" w:cs="Noto Sans CJK SC"/>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Noto Sans CJK SC" w:hAnsi="Noto Sans CJK SC" w:eastAsia="Noto Sans CJK SC" w:cs="Noto Sans CJK SC"/>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Noto Sans CJK SC" w:hAnsi="Noto Sans CJK SC" w:eastAsia="Noto Sans CJK SC" w:cs="Noto Sans CJK SC"/>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Noto Sans CJK SC" w:hAnsi="Noto Sans CJK SC" w:eastAsia="Noto Sans CJK SC" w:cs="Noto Sans CJK SC"/>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Noto Sans CJK SC" w:hAnsi="Noto Sans CJK SC" w:eastAsia="Noto Sans CJK SC" w:cs="Noto Sans CJK SC"/>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Noto Sans CJK SC" w:hAnsi="Noto Sans CJK SC" w:eastAsia="Noto Sans CJK SC" w:cs="Noto Sans CJK SC"/>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Noto Sans CJK SC" w:hAnsi="Noto Sans CJK SC" w:eastAsia="Noto Sans CJK SC" w:cs="Noto Sans CJK SC"/>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Noto Sans CJK SC" w:hAnsi="Noto Sans CJK SC" w:eastAsia="Noto Sans CJK SC" w:cs="Noto Sans CJK SC"/>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Noto Sans CJK SC" w:hAnsi="Noto Sans CJK SC" w:eastAsia="Noto Sans CJK SC" w:cs="Noto Sans CJK SC"/>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Noto Sans CJK SC" w:hAnsi="Noto Sans CJK SC" w:eastAsia="Noto Sans CJK SC" w:cs="Noto Sans CJK SC"/>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Noto Sans CJK SC" w:hAnsi="Noto Sans CJK SC" w:eastAsia="Noto Sans CJK SC" w:cs="Noto Sans CJK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Noto Sans CJK SC" w:hAnsi="Noto Sans CJK SC" w:eastAsia="Noto Sans CJK SC" w:cs="Noto Sans CJK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Noto Sans CJK SC" w:hAnsi="Noto Sans CJK SC" w:eastAsia="Noto Sans CJK SC" w:cs="Noto Sans CJK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Noto Sans CJK SC" w:hAnsi="Noto Sans CJK SC" w:eastAsia="Noto Sans CJK SC" w:cs="Noto Sans CJK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Noto Sans CJK SC" w:hAnsi="Noto Sans CJK SC" w:eastAsia="Noto Sans CJK SC" w:cs="Noto Sans CJK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Noto Sans CJK SC" w:hAnsi="Noto Sans CJK SC" w:eastAsia="Noto Sans CJK SC" w:cs="Noto Sans CJK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Noto Sans CJK SC" w:hAnsi="Noto Sans CJK SC" w:eastAsia="Noto Sans CJK SC" w:cs="Noto Sans CJK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Noto Sans CJK SC" w:hAnsi="Noto Sans CJK SC" w:eastAsia="Noto Sans CJK SC" w:cs="Noto Sans CJK SC"/>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Noto Sans CJK SC" w:hAnsi="Noto Sans CJK SC" w:eastAsia="Noto Sans CJK SC" w:cs="Noto Sans CJK SC"/>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Noto Sans CJK SC" w:hAnsi="Noto Sans CJK SC" w:eastAsia="Noto Sans CJK SC" w:cs="Noto Sans CJK SC"/>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Noto Sans CJK SC" w:hAnsi="Noto Sans CJK SC" w:eastAsia="Noto Sans CJK SC" w:cs="Noto Sans CJK SC"/>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Noto Sans CJK SC" w:hAnsi="Noto Sans CJK SC" w:eastAsia="Noto Sans CJK SC" w:cs="Noto Sans CJK SC"/>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Noto Sans CJK SC" w:hAnsi="Noto Sans CJK SC" w:eastAsia="Noto Sans CJK SC" w:cs="Noto Sans CJK SC"/>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Noto Sans CJK SC" w:hAnsi="Noto Sans CJK SC" w:eastAsia="Noto Sans CJK SC" w:cs="Noto Sans CJK SC"/>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ascii="Noto Sans CJK SC" w:hAnsi="Noto Sans CJK SC" w:eastAsia="Noto Sans CJK SC" w:cs="Noto Sans CJK SC"/>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Noto Sans CJK SC" w:hAnsi="Noto Sans CJK SC" w:eastAsia="Noto Sans CJK SC" w:cs="Noto Sans CJK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Noto Sans CJK SC" w:hAnsi="Noto Sans CJK SC" w:eastAsia="Noto Sans CJK SC" w:cs="Noto Sans CJK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Noto Sans CJK SC" w:hAnsi="Noto Sans CJK SC" w:eastAsia="Noto Sans CJK SC" w:cs="Noto Sans CJK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Noto Sans CJK SC" w:hAnsi="Noto Sans CJK SC" w:eastAsia="Noto Sans CJK SC" w:cs="Noto Sans CJK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Noto Sans CJK SC" w:hAnsi="Noto Sans CJK SC" w:eastAsia="Noto Sans CJK SC" w:cs="Noto Sans CJK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Noto Sans CJK SC" w:hAnsi="Noto Sans CJK SC" w:eastAsia="Noto Sans CJK SC" w:cs="Noto Sans CJK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Noto Sans CJK SC" w:hAnsi="Noto Sans CJK SC" w:eastAsia="Noto Sans CJK SC" w:cs="Noto Sans CJK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Noto Sans CJK SC" w:hAnsi="Noto Sans CJK SC" w:eastAsia="Noto Sans CJK SC" w:cs="Noto Sans CJK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Noto Sans CJK SC" w:hAnsi="Noto Sans CJK SC" w:eastAsia="Noto Sans CJK SC" w:cs="Noto Sans CJK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Noto Sans CJK SC" w:hAnsi="Noto Sans CJK SC" w:eastAsia="Noto Sans CJK SC" w:cs="Noto Sans CJK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Noto Sans CJK SC" w:hAnsi="Noto Sans CJK SC" w:eastAsia="Noto Sans CJK SC" w:cs="Noto Sans CJK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Noto Sans CJK SC" w:hAnsi="Noto Sans CJK SC" w:eastAsia="Noto Sans CJK SC" w:cs="Noto Sans CJK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Noto Sans CJK SC" w:hAnsi="Noto Sans CJK SC" w:eastAsia="Noto Sans CJK SC" w:cs="Noto Sans CJK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Noto Sans CJK SC" w:hAnsi="Noto Sans CJK SC" w:eastAsia="Noto Sans CJK SC" w:cs="Noto Sans CJK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Noto Sans CJK SC" w:hAnsi="Noto Sans CJK SC" w:eastAsia="Noto Sans CJK SC" w:cs="Noto Sans CJK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Noto Sans CJK SC" w:hAnsi="Noto Sans CJK SC" w:eastAsia="Noto Sans CJK SC" w:cs="Noto Sans CJK SC"/>
      <w:b/>
      <w:bCs/>
    </w:rPr>
  </w:style>
  <w:style w:type="character" w:styleId="134">
    <w:name w:val="Emphasis"/>
    <w:basedOn w:val="132"/>
    <w:qFormat/>
    <w:uiPriority w:val="20"/>
    <w:rPr>
      <w:rFonts w:ascii="Noto Sans CJK SC" w:hAnsi="Noto Sans CJK SC" w:eastAsia="Noto Sans CJK SC" w:cs="Noto Sans CJK SC"/>
      <w:i/>
      <w:iCs/>
    </w:rPr>
  </w:style>
  <w:style w:type="character" w:customStyle="1" w:styleId="135">
    <w:name w:val="Header Char"/>
    <w:basedOn w:val="132"/>
    <w:link w:val="25"/>
    <w:uiPriority w:val="99"/>
    <w:rPr>
      <w:rFonts w:ascii="Noto Sans CJK SC" w:hAnsi="Noto Sans CJK SC" w:eastAsia="Noto Sans CJK SC" w:cs="Noto Sans CJK SC"/>
    </w:rPr>
  </w:style>
  <w:style w:type="character" w:customStyle="1" w:styleId="136">
    <w:name w:val="Footer Char"/>
    <w:basedOn w:val="132"/>
    <w:link w:val="24"/>
    <w:uiPriority w:val="99"/>
    <w:rPr>
      <w:rFonts w:ascii="Noto Sans CJK SC" w:hAnsi="Noto Sans CJK SC" w:eastAsia="Noto Sans CJK SC" w:cs="Noto Sans CJK SC"/>
    </w:rPr>
  </w:style>
  <w:style w:type="paragraph" w:styleId="137">
    <w:name w:val="No Spacing"/>
    <w:qFormat/>
    <w:uiPriority w:val="1"/>
    <w:pPr>
      <w:spacing w:after="0" w:line="240" w:lineRule="auto"/>
    </w:pPr>
    <w:rPr>
      <w:rFonts w:asciiTheme="minorHAnsi" w:hAnsiTheme="minorHAnsi" w:eastAsiaTheme="minorEastAsia" w:cstheme="minorBidi" w:ascii="Noto Sans CJK SC" w:hAnsi="Noto Sans CJK SC" w:eastAsia="Noto Sans CJK SC" w:cs="Noto Sans CJK SC"/>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ascii="Noto Sans CJK SC" w:hAnsi="Noto Sans CJK SC" w:eastAsia="Noto Sans CJK SC" w:cs="Noto Sans CJK SC"/>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ascii="Noto Sans CJK SC" w:hAnsi="Noto Sans CJK SC" w:eastAsia="Noto Sans CJK SC" w:cs="Noto Sans CJK SC"/>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ascii="Noto Sans CJK SC" w:hAnsi="Noto Sans CJK SC" w:eastAsia="Noto Sans CJK SC" w:cs="Noto Sans CJK SC"/>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ascii="Noto Sans CJK SC" w:hAnsi="Noto Sans CJK SC" w:eastAsia="Noto Sans CJK SC" w:cs="Noto Sans CJK SC"/>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ascii="Noto Sans CJK SC" w:hAnsi="Noto Sans CJK SC" w:eastAsia="Noto Sans CJK SC" w:cs="Noto Sans CJK SC"/>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Noto Sans CJK SC" w:hAnsi="Noto Sans CJK SC" w:eastAsia="Noto Sans CJK SC" w:cs="Noto Sans CJK SC"/>
    </w:rPr>
  </w:style>
  <w:style w:type="character" w:customStyle="1" w:styleId="144">
    <w:name w:val="Body Text Char"/>
    <w:basedOn w:val="132"/>
    <w:link w:val="19"/>
    <w:uiPriority w:val="99"/>
    <w:rPr>
      <w:rFonts w:ascii="Noto Sans CJK SC" w:hAnsi="Noto Sans CJK SC" w:eastAsia="Noto Sans CJK SC" w:cs="Noto Sans CJK SC"/>
    </w:rPr>
  </w:style>
  <w:style w:type="character" w:customStyle="1" w:styleId="145">
    <w:name w:val="Body Text 2 Char"/>
    <w:basedOn w:val="132"/>
    <w:link w:val="28"/>
    <w:uiPriority w:val="99"/>
    <w:rPr>
      <w:rFonts w:ascii="Noto Sans CJK SC" w:hAnsi="Noto Sans CJK SC" w:eastAsia="Noto Sans CJK SC" w:cs="Noto Sans CJK SC"/>
    </w:rPr>
  </w:style>
  <w:style w:type="character" w:customStyle="1" w:styleId="146">
    <w:name w:val="Body Text 3 Char"/>
    <w:basedOn w:val="132"/>
    <w:link w:val="17"/>
    <w:uiPriority w:val="99"/>
    <w:rPr>
      <w:rFonts w:ascii="Noto Sans CJK SC" w:hAnsi="Noto Sans CJK SC" w:eastAsia="Noto Sans CJK SC" w:cs="Noto Sans CJK SC"/>
      <w:sz w:val="16"/>
      <w:szCs w:val="16"/>
    </w:rPr>
  </w:style>
  <w:style w:type="character" w:customStyle="1" w:styleId="147">
    <w:name w:val="Macro Text Char"/>
    <w:basedOn w:val="132"/>
    <w:link w:val="2"/>
    <w:uiPriority w:val="99"/>
    <w:rPr>
      <w:rFonts w:ascii="Noto Sans CJK SC" w:hAnsi="Noto Sans CJK SC" w:eastAsia="Noto Sans CJK SC" w:cs="Noto Sans CJK SC"/>
      <w:sz w:val="20"/>
      <w:szCs w:val="20"/>
    </w:rPr>
  </w:style>
  <w:style w:type="paragraph" w:styleId="148">
    <w:name w:val="Quote"/>
    <w:basedOn w:val="1"/>
    <w:next w:val="1"/>
    <w:link w:val="149"/>
    <w:qFormat/>
    <w:uiPriority w:val="29"/>
    <w:rPr>
      <w:rFonts w:ascii="Noto Sans CJK SC" w:hAnsi="Noto Sans CJK SC" w:eastAsia="Noto Sans CJK SC" w:cs="Noto Sans CJK SC"/>
      <w:i/>
      <w:iCs/>
      <w:color w:val="000000" w:themeColor="text1"/>
      <w14:textFill>
        <w14:solidFill>
          <w14:schemeClr w14:val="tx1"/>
        </w14:solidFill>
      </w14:textFill>
    </w:rPr>
  </w:style>
  <w:style w:type="character" w:customStyle="1" w:styleId="149">
    <w:name w:val="Quote Char"/>
    <w:basedOn w:val="132"/>
    <w:link w:val="148"/>
    <w:uiPriority w:val="29"/>
    <w:rPr>
      <w:rFonts w:ascii="Noto Sans CJK SC" w:hAnsi="Noto Sans CJK SC" w:eastAsia="Noto Sans CJK SC" w:cs="Noto Sans CJK SC"/>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ascii="Noto Sans CJK SC" w:hAnsi="Noto Sans CJK SC" w:eastAsia="Noto Sans CJK SC" w:cs="Noto Sans CJK SC"/>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ascii="Noto Sans CJK SC" w:hAnsi="Noto Sans CJK SC" w:eastAsia="Noto Sans CJK SC" w:cs="Noto Sans CJK SC"/>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ascii="Noto Sans CJK SC" w:hAnsi="Noto Sans CJK SC" w:eastAsia="Noto Sans CJK SC" w:cs="Noto Sans CJK SC"/>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ascii="Noto Sans CJK SC" w:hAnsi="Noto Sans CJK SC" w:eastAsia="Noto Sans CJK SC" w:cs="Noto Sans CJK SC"/>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ascii="Noto Sans CJK SC" w:hAnsi="Noto Sans CJK SC" w:eastAsia="Noto Sans CJK SC" w:cs="Noto Sans CJK SC"/>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ascii="Noto Sans CJK SC" w:hAnsi="Noto Sans CJK SC" w:eastAsia="Noto Sans CJK SC" w:cs="Noto Sans CJK SC"/>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Noto Sans CJK SC" w:hAnsi="Noto Sans CJK SC" w:eastAsia="Noto Sans CJK SC" w:cs="Noto Sans CJK SC"/>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Noto Sans CJK SC" w:hAnsi="Noto Sans CJK SC" w:eastAsia="Noto Sans CJK SC" w:cs="Noto Sans CJK SC"/>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Noto Sans CJK SC" w:hAnsi="Noto Sans CJK SC" w:eastAsia="Noto Sans CJK SC" w:cs="Noto Sans CJK SC"/>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Noto Sans CJK SC" w:hAnsi="Noto Sans CJK SC" w:eastAsia="Noto Sans CJK SC" w:cs="Noto Sans CJK SC"/>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Noto Sans CJK SC" w:hAnsi="Noto Sans CJK SC" w:eastAsia="Noto Sans CJK SC" w:cs="Noto Sans CJK SC"/>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Noto Sans CJK SC" w:hAnsi="Noto Sans CJK SC" w:eastAsia="Noto Sans CJK SC" w:cs="Noto Sans CJK SC"/>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Noto Sans CJK SC" w:hAnsi="Noto Sans CJK SC" w:eastAsia="Noto Sans CJK SC" w:cs="Noto Sans CJK SC"/>
      <w:b/>
      <w:bCs/>
      <w:smallCaps/>
      <w:spacing w:val="5"/>
    </w:rPr>
  </w:style>
  <w:style w:type="paragraph" w:customStyle="1" w:styleId="163">
    <w:name w:val="TOC Heading"/>
    <w:basedOn w:val="3"/>
    <w:next w:val="1"/>
    <w:semiHidden/>
    <w:unhideWhenUsed/>
    <w:qFormat/>
    <w:uiPriority w:val="39"/>
    <w:pPr>
      <w:outlineLvl w:val="9"/>
    </w:pPr>
    <w:rPr>
      <w:rFonts w:ascii="Noto Sans CJK SC" w:hAnsi="Noto Sans CJK SC" w:eastAsia="Noto Sans CJK SC" w:cs="Noto Sans CJK SC"/>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941</Words>
  <Characters>1328</Characters>
  <Lines>0</Lines>
  <Paragraphs>0</Paragraphs>
  <TotalTime>12</TotalTime>
  <ScaleCrop>false</ScaleCrop>
  <LinksUpToDate>false</LinksUpToDate>
  <CharactersWithSpaces>1416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ResearchOps</dc:creator>
  <dc:description>基于 Sprint 2 Day 1 已确认规则整理。</dc:description>
  <cp:lastModifiedBy>蔡中琴</cp:lastModifiedBy>
  <dcterms:modified xsi:type="dcterms:W3CDTF">2026-08-10T07:38:05Z</dcterms:modified>
  <dc:subject>Sprint 2 Day 1 Baseline 同题测试协议</dc:subject>
  <dc:title>ResearchOps Baseline Test Protocol V1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eyJoZGlkIjoiMGI2MDkyM2RmNzA1ZDBiY2NhZDA1MzlkMWFlMjNiMWQiLCJ1c2VySWQiOiIxNzcyNDgwODg3In0=</vt:lpwstr>
  </property>
  <property fmtid="{D5CDD505-2E9C-101B-9397-08002B2CF9AE}" pid="3" name="KSOProductBuildVer">
    <vt:lpwstr>2052-12.1.0.28043</vt:lpwstr>
  </property>
  <property fmtid="{D5CDD505-2E9C-101B-9397-08002B2CF9AE}" pid="4" name="ICV">
    <vt:lpwstr>79B81FC7AA074E47BFCA1262B3F6CA8C_12</vt:lpwstr>
  </property>
</Properties>
</file>