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line="240" w:lineRule="auto"/>
        <w:jc w:val="left"/>
      </w:pPr>
      <w:r>
        <w:rPr>
          <w:rFonts w:ascii="Noto Sans CJK SC" w:hAnsi="Noto Sans CJK SC" w:eastAsia="Noto Sans CJK SC" w:cs="Noto Sans CJK SC"/>
          <w:b/>
          <w:color w:val="1F4E79"/>
          <w:sz w:val="28"/>
        </w:rPr>
        <w:t>ResearchOps · Sprint 2 Start Brief</w:t>
      </w:r>
    </w:p>
    <w:tbl>
      <w:tblPr>
        <w:tblW w:type="dxa" w:w="9952"/>
        <w:jc w:val="left"/>
        <w:tblLayout w:type="autofit"/>
        <w:tblLook w:firstColumn="1" w:firstRow="1" w:lastColumn="0" w:lastRow="0" w:noHBand="0" w:noVBand="1" w:val="04A0"/>
        <w:tblBorders>
          <w:top w:val="single" w:sz="4" w:space="0" w:color="CAD7E2"/>
          <w:left w:val="single" w:sz="4" w:space="0" w:color="CAD7E2"/>
          <w:bottom w:val="single" w:sz="4" w:space="0" w:color="CAD7E2"/>
          <w:right w:val="single" w:sz="4" w:space="0" w:color="CAD7E2"/>
          <w:insideH w:val="single" w:sz="4" w:space="0" w:color="CAD7E2"/>
          <w:insideV w:val="single" w:sz="4" w:space="0" w:color="CAD7E2"/>
        </w:tblBorders>
      </w:tblPr>
      <w:tblGrid>
        <w:gridCol w:w="2488"/>
        <w:gridCol w:w="2488"/>
        <w:gridCol w:w="2488"/>
        <w:gridCol w:w="2488"/>
      </w:tblGrid>
      <w:tr>
        <w:trPr>
          <w:cantSplit w:val="1"/>
        </w:trPr>
        <w:tc>
          <w:tcPr>
            <w:tcW w:type="dxa" w:w="2488"/>
            <w:shd w:fill="F3F4F6"/>
            <w:tcMar>
              <w:top w:w="120" w:type="dxa"/>
              <w:start w:w="60" w:type="dxa"/>
              <w:bottom w:w="120" w:type="dxa"/>
              <w:end w:w="60" w:type="dxa"/>
              <w:left w:w="120" w:type="dxa"/>
              <w:right w:w="120" w:type="dxa"/>
            </w:tcMar>
            <w:vAlign w:val="center"/>
          </w:tcPr>
          <w:p>
            <w:pPr>
              <w:spacing w:before="0" w:after="20" w:line="240" w:lineRule="auto"/>
            </w:pPr>
            <w:r>
              <w:rPr>
                <w:rFonts w:ascii="Noto Sans CJK SC" w:hAnsi="Noto Sans CJK SC" w:eastAsia="Noto Sans CJK SC" w:cs="Noto Sans CJK SC"/>
                <w:b/>
                <w:color w:val="1F4E79"/>
                <w:sz w:val="15"/>
              </w:rPr>
              <w:t>版本：</w:t>
            </w:r>
            <w:r>
              <w:rPr>
                <w:rFonts w:ascii="Noto Sans CJK SC" w:hAnsi="Noto Sans CJK SC" w:eastAsia="Noto Sans CJK SC" w:cs="Noto Sans CJK SC"/>
                <w:b w:val="0"/>
                <w:color w:val="1F2937"/>
                <w:sz w:val="14"/>
              </w:rPr>
              <w:t>V1.0</w:t>
            </w:r>
          </w:p>
        </w:tc>
        <w:tc>
          <w:tcPr>
            <w:tcW w:type="dxa" w:w="2488"/>
            <w:shd w:fill="F3F4F6"/>
            <w:tcMar>
              <w:top w:w="120" w:type="dxa"/>
              <w:start w:w="60" w:type="dxa"/>
              <w:bottom w:w="120" w:type="dxa"/>
              <w:end w:w="60" w:type="dxa"/>
              <w:left w:w="120" w:type="dxa"/>
              <w:right w:w="120" w:type="dxa"/>
            </w:tcMar>
            <w:vAlign w:val="center"/>
          </w:tcPr>
          <w:p>
            <w:pPr>
              <w:spacing w:before="0" w:after="20" w:line="240" w:lineRule="auto"/>
            </w:pPr>
            <w:r>
              <w:rPr>
                <w:rFonts w:ascii="Noto Sans CJK SC" w:hAnsi="Noto Sans CJK SC" w:eastAsia="Noto Sans CJK SC" w:cs="Noto Sans CJK SC"/>
                <w:b/>
                <w:color w:val="1F4E79"/>
                <w:sz w:val="15"/>
              </w:rPr>
              <w:t>日期：</w:t>
            </w:r>
            <w:r>
              <w:rPr>
                <w:rFonts w:ascii="Noto Sans CJK SC" w:hAnsi="Noto Sans CJK SC" w:eastAsia="Noto Sans CJK SC" w:cs="Noto Sans CJK SC"/>
                <w:b w:val="0"/>
                <w:color w:val="1F2937"/>
                <w:sz w:val="14"/>
              </w:rPr>
              <w:t>2026-08-09</w:t>
            </w:r>
          </w:p>
        </w:tc>
        <w:tc>
          <w:tcPr>
            <w:tcW w:type="dxa" w:w="2488"/>
            <w:shd w:fill="F3F4F6"/>
            <w:tcMar>
              <w:top w:w="120" w:type="dxa"/>
              <w:start w:w="60" w:type="dxa"/>
              <w:bottom w:w="120" w:type="dxa"/>
              <w:end w:w="60" w:type="dxa"/>
              <w:left w:w="120" w:type="dxa"/>
              <w:right w:w="120" w:type="dxa"/>
            </w:tcMar>
            <w:vAlign w:val="center"/>
          </w:tcPr>
          <w:p>
            <w:pPr>
              <w:spacing w:before="0" w:after="20" w:line="240" w:lineRule="auto"/>
            </w:pPr>
            <w:r>
              <w:rPr>
                <w:rFonts w:ascii="Noto Sans CJK SC" w:hAnsi="Noto Sans CJK SC" w:eastAsia="Noto Sans CJK SC" w:cs="Noto Sans CJK SC"/>
                <w:b/>
                <w:color w:val="1F4E79"/>
                <w:sz w:val="15"/>
              </w:rPr>
              <w:t>阶段：</w:t>
            </w:r>
            <w:r>
              <w:rPr>
                <w:rFonts w:ascii="Noto Sans CJK SC" w:hAnsi="Noto Sans CJK SC" w:eastAsia="Noto Sans CJK SC" w:cs="Noto Sans CJK SC"/>
                <w:b w:val="0"/>
                <w:color w:val="1F2937"/>
                <w:sz w:val="14"/>
              </w:rPr>
              <w:t>Sprint 2 · Solution Validation</w:t>
            </w:r>
          </w:p>
        </w:tc>
        <w:tc>
          <w:tcPr>
            <w:tcW w:type="dxa" w:w="2488"/>
            <w:shd w:fill="F3F4F6"/>
            <w:tcMar>
              <w:top w:w="120" w:type="dxa"/>
              <w:start w:w="60" w:type="dxa"/>
              <w:bottom w:w="120" w:type="dxa"/>
              <w:end w:w="60" w:type="dxa"/>
              <w:left w:w="120" w:type="dxa"/>
              <w:right w:w="120" w:type="dxa"/>
            </w:tcMar>
            <w:vAlign w:val="center"/>
          </w:tcPr>
          <w:p>
            <w:pPr>
              <w:spacing w:before="0" w:after="20" w:line="240" w:lineRule="auto"/>
            </w:pPr>
            <w:r>
              <w:rPr>
                <w:rFonts w:ascii="Noto Sans CJK SC" w:hAnsi="Noto Sans CJK SC" w:eastAsia="Noto Sans CJK SC" w:cs="Noto Sans CJK SC"/>
                <w:b/>
                <w:color w:val="1F4E79"/>
                <w:sz w:val="15"/>
              </w:rPr>
              <w:t>Gate 1：</w:t>
            </w:r>
            <w:r>
              <w:rPr>
                <w:rFonts w:ascii="Noto Sans CJK SC" w:hAnsi="Noto Sans CJK SC" w:eastAsia="Noto Sans CJK SC" w:cs="Noto Sans CJK SC"/>
                <w:b w:val="0"/>
                <w:color w:val="1F2937"/>
                <w:sz w:val="14"/>
              </w:rPr>
              <w:t>CONDITIONAL PASS</w:t>
            </w:r>
          </w:p>
        </w:tc>
      </w:tr>
      <w:tr>
        <w:trPr>
          <w:cantSplit w:val="1"/>
        </w:trPr>
        <w:tc>
          <w:tcPr>
            <w:tcW w:type="dxa" w:w="2488"/>
            <w:shd w:fill="FFFFFF"/>
            <w:tcMar>
              <w:top w:w="120" w:type="dxa"/>
              <w:start w:w="60" w:type="dxa"/>
              <w:bottom w:w="120" w:type="dxa"/>
              <w:end w:w="60" w:type="dxa"/>
              <w:left w:w="120" w:type="dxa"/>
              <w:right w:w="120" w:type="dxa"/>
            </w:tcMar>
            <w:vAlign w:val="center"/>
          </w:tcPr>
          <w:p>
            <w:pPr>
              <w:spacing w:before="0" w:after="20" w:line="240" w:lineRule="auto"/>
            </w:pPr>
            <w:r>
              <w:rPr>
                <w:rFonts w:ascii="Noto Sans CJK SC" w:hAnsi="Noto Sans CJK SC" w:eastAsia="Noto Sans CJK SC" w:cs="Noto Sans CJK SC"/>
                <w:b/>
                <w:color w:val="1F4E79"/>
                <w:sz w:val="15"/>
              </w:rPr>
              <w:t>文档状态：</w:t>
            </w:r>
            <w:r>
              <w:rPr>
                <w:rFonts w:ascii="Noto Sans CJK SC" w:hAnsi="Noto Sans CJK SC" w:eastAsia="Noto Sans CJK SC" w:cs="Noto Sans CJK SC"/>
                <w:b w:val="0"/>
                <w:color w:val="1F2937"/>
                <w:sz w:val="14"/>
              </w:rPr>
              <w:t>FREEZE / PASS</w:t>
            </w:r>
          </w:p>
        </w:tc>
        <w:tc>
          <w:tcPr>
            <w:tcW w:type="dxa" w:w="2488"/>
            <w:shd w:fill="FFFFFF"/>
            <w:tcMar>
              <w:top w:w="120" w:type="dxa"/>
              <w:start w:w="60" w:type="dxa"/>
              <w:bottom w:w="120" w:type="dxa"/>
              <w:end w:w="60" w:type="dxa"/>
              <w:left w:w="120" w:type="dxa"/>
              <w:right w:w="120" w:type="dxa"/>
            </w:tcMar>
            <w:vAlign w:val="center"/>
          </w:tcPr>
          <w:p>
            <w:pPr>
              <w:spacing w:before="0" w:after="20" w:line="240" w:lineRule="auto"/>
            </w:pPr>
            <w:r>
              <w:rPr>
                <w:rFonts w:ascii="Noto Sans CJK SC" w:hAnsi="Noto Sans CJK SC" w:eastAsia="Noto Sans CJK SC" w:cs="Noto Sans CJK SC"/>
                <w:b/>
                <w:color w:val="1F4E79"/>
                <w:sz w:val="15"/>
              </w:rPr>
              <w:t>P0 主路径：</w:t>
            </w:r>
            <w:r>
              <w:rPr>
                <w:rFonts w:ascii="Noto Sans CJK SC" w:hAnsi="Noto Sans CJK SC" w:eastAsia="Noto Sans CJK SC" w:cs="Noto Sans CJK SC"/>
                <w:b w:val="0"/>
                <w:color w:val="1F2937"/>
                <w:sz w:val="14"/>
              </w:rPr>
              <w:t>复现前准备度评估</w:t>
            </w:r>
          </w:p>
        </w:tc>
        <w:tc>
          <w:tcPr>
            <w:tcW w:type="dxa" w:w="2488"/>
            <w:shd w:fill="FFFFFF"/>
            <w:tcMar>
              <w:top w:w="120" w:type="dxa"/>
              <w:start w:w="60" w:type="dxa"/>
              <w:bottom w:w="120" w:type="dxa"/>
              <w:end w:w="60" w:type="dxa"/>
              <w:left w:w="120" w:type="dxa"/>
              <w:right w:w="120" w:type="dxa"/>
            </w:tcMar>
            <w:vAlign w:val="center"/>
          </w:tcPr>
          <w:p>
            <w:pPr>
              <w:spacing w:before="0" w:after="20" w:line="240" w:lineRule="auto"/>
            </w:pPr>
            <w:r>
              <w:rPr>
                <w:rFonts w:ascii="Noto Sans CJK SC" w:hAnsi="Noto Sans CJK SC" w:eastAsia="Noto Sans CJK SC" w:cs="Noto Sans CJK SC"/>
                <w:b/>
                <w:color w:val="1F4E79"/>
                <w:sz w:val="15"/>
              </w:rPr>
            </w:r>
            <w:r>
              <w:rPr>
                <w:rFonts w:ascii="Noto Sans CJK SC" w:hAnsi="Noto Sans CJK SC" w:eastAsia="Noto Sans CJK SC" w:cs="Noto Sans CJK SC"/>
                <w:b w:val="0"/>
                <w:color w:val="1F2937"/>
                <w:sz w:val="14"/>
              </w:rPr>
            </w:r>
            <w:r>
              <w:rPr>
                <w:rFonts w:ascii="Noto Sans CJK SC" w:hAnsi="Noto Sans CJK SC" w:eastAsia="Noto Sans CJK SC" w:cs="Noto Sans CJK SC"/>
                <w:b/>
                <w:color w:val="1F4E79"/>
                <w:sz w:val="15"/>
              </w:rPr>
              <w:t>Baseline：</w:t>
            </w:r>
            <w:r>
              <w:rPr>
                <w:rFonts w:ascii="Noto Sans CJK SC" w:hAnsi="Noto Sans CJK SC" w:eastAsia="Noto Sans CJK SC" w:cs="Noto Sans CJK SC"/>
                <w:color w:val="1F2937"/>
                <w:sz w:val="14"/>
              </w:rPr>
              <w:t>A/B 必测；C 可选</w:t>
            </w:r>
          </w:p>
        </w:tc>
        <w:tc>
          <w:tcPr>
            <w:tcW w:type="dxa" w:w="2488"/>
            <w:shd w:fill="FFFFFF"/>
            <w:tcMar>
              <w:top w:w="120" w:type="dxa"/>
              <w:start w:w="60" w:type="dxa"/>
              <w:bottom w:w="120" w:type="dxa"/>
              <w:end w:w="60" w:type="dxa"/>
              <w:left w:w="120" w:type="dxa"/>
              <w:right w:w="120" w:type="dxa"/>
            </w:tcMar>
            <w:vAlign w:val="center"/>
          </w:tcPr>
          <w:p>
            <w:pPr>
              <w:spacing w:before="0" w:after="20" w:line="240" w:lineRule="auto"/>
            </w:pPr>
            <w:r>
              <w:rPr>
                <w:rFonts w:ascii="Noto Sans CJK SC" w:hAnsi="Noto Sans CJK SC" w:eastAsia="Noto Sans CJK SC" w:cs="Noto Sans CJK SC"/>
                <w:b/>
                <w:color w:val="1F4E79"/>
                <w:sz w:val="15"/>
              </w:rPr>
              <w:t>用途：</w:t>
            </w:r>
            <w:r>
              <w:rPr>
                <w:rFonts w:ascii="Noto Sans CJK SC" w:hAnsi="Noto Sans CJK SC" w:eastAsia="Noto Sans CJK SC" w:cs="Noto Sans CJK SC"/>
                <w:b w:val="0"/>
                <w:color w:val="1F2937"/>
                <w:sz w:val="14"/>
              </w:rPr>
              <w:t>冻结 Sprint 2 起点与出口</w:t>
            </w:r>
          </w:p>
        </w:tc>
      </w:tr>
    </w:tbl>
    <w:p>
      <w:pPr>
        <w:spacing w:before="100" w:after="40" w:line="240" w:lineRule="auto"/>
        <w:pBdr>
          <w:bottom w:val="single" w:sz="6" w:space="1" w:color="D9E6F2"/>
        </w:pBdr>
      </w:pPr>
      <w:r>
        <w:rPr>
          <w:rFonts w:ascii="Noto Sans CJK SC" w:hAnsi="Noto Sans CJK SC" w:eastAsia="Noto Sans CJK SC" w:cs="Noto Sans CJK SC"/>
          <w:b/>
          <w:color w:val="1F4E79"/>
          <w:sz w:val="20"/>
        </w:rPr>
        <w:t>1. Sprint 1 已冻结输入</w:t>
      </w:r>
    </w:p>
    <w:p>
      <w:pPr>
        <w:spacing w:before="0" w:after="40" w:line="240" w:lineRule="auto"/>
      </w:pPr>
      <w:r>
        <w:rPr>
          <w:rFonts w:ascii="Noto Sans CJK SC" w:hAnsi="Noto Sans CJK SC" w:eastAsia="Noto Sans CJK SC" w:cs="Noto Sans CJK SC"/>
          <w:b w:val="0"/>
          <w:color w:val="1F2937"/>
          <w:sz w:val="15"/>
        </w:rPr>
        <w:t>Sprint 1 已完成问题空间研究与 Gate 1 决策。以下输入作为 Sprint 2 的冻结设计依据，不在本 Sprint 重复清洗、统计、编码或重新分类。</w:t>
      </w:r>
    </w:p>
    <w:p>
      <w:pPr>
        <w:spacing w:before="0" w:after="40" w:line="240" w:lineRule="auto"/>
        <w:ind w:left="216" w:hanging="144"/>
      </w:pPr>
      <w:r>
        <w:rPr>
          <w:rFonts w:ascii="Noto Sans CJK SC" w:hAnsi="Noto Sans CJK SC" w:eastAsia="Noto Sans CJK SC" w:cs="Noto Sans CJK SC"/>
          <w:b/>
          <w:color w:val="1F2937"/>
          <w:sz w:val="15"/>
        </w:rPr>
        <w:t xml:space="preserve">• </w:t>
      </w:r>
      <w:r>
        <w:rPr>
          <w:rFonts w:ascii="Noto Sans CJK SC" w:hAnsi="Noto Sans CJK SC" w:eastAsia="Noto Sans CJK SC" w:cs="Noto Sans CJK SC"/>
          <w:b w:val="0"/>
          <w:color w:val="1F2937"/>
          <w:sz w:val="15"/>
        </w:rPr>
        <w:t>正式用户研究：有效样本 N=20；样本统计、开放文本编码与相关分析已完成，原始数据与工作副本已隔离。</w:t>
      </w:r>
    </w:p>
    <w:p>
      <w:pPr>
        <w:spacing w:before="0" w:after="40" w:line="240" w:lineRule="auto"/>
        <w:ind w:left="216" w:hanging="144"/>
      </w:pPr>
      <w:r>
        <w:rPr>
          <w:rFonts w:ascii="Noto Sans CJK SC" w:hAnsi="Noto Sans CJK SC" w:eastAsia="Noto Sans CJK SC" w:cs="Noto Sans CJK SC"/>
          <w:b/>
          <w:color w:val="1F2937"/>
          <w:sz w:val="15"/>
        </w:rPr>
        <w:t xml:space="preserve">• </w:t>
      </w:r>
      <w:r>
        <w:rPr>
          <w:rFonts w:ascii="Noto Sans CJK SC" w:hAnsi="Noto Sans CJK SC" w:eastAsia="Noto Sans CJK SC" w:cs="Noto Sans CJK SC"/>
          <w:b w:val="0"/>
          <w:color w:val="1F2937"/>
          <w:sz w:val="15"/>
        </w:rPr>
        <w:t>公开案例：C-001—C-020 共 20 条案例已完成来源留档、案例卡、冻结与分析，仅作为问题证据、场景依据和测试素材。</w:t>
      </w:r>
    </w:p>
    <w:p>
      <w:pPr>
        <w:spacing w:before="0" w:after="40" w:line="240" w:lineRule="auto"/>
        <w:ind w:left="216" w:hanging="144"/>
      </w:pPr>
      <w:r>
        <w:rPr>
          <w:rFonts w:ascii="Noto Sans CJK SC" w:hAnsi="Noto Sans CJK SC" w:eastAsia="Noto Sans CJK SC" w:cs="Noto Sans CJK SC"/>
          <w:b/>
          <w:color w:val="1F2937"/>
          <w:sz w:val="15"/>
        </w:rPr>
        <w:t xml:space="preserve">• </w:t>
      </w:r>
      <w:r>
        <w:rPr>
          <w:rFonts w:ascii="Noto Sans CJK SC" w:hAnsi="Noto Sans CJK SC" w:eastAsia="Noto Sans CJK SC" w:cs="Noto Sans CJK SC"/>
          <w:b w:val="0"/>
          <w:color w:val="1F2937"/>
          <w:sz w:val="15"/>
        </w:rPr>
        <w:t>问题与决策资产：多源证据、痛点优先级、Problem Definition 与 Gate 1 决策已冻结；H2/H3 尚未完成正式效果验证。</w:t>
      </w:r>
    </w:p>
    <w:p>
      <w:pPr>
        <w:spacing w:before="0" w:after="40" w:line="240" w:lineRule="auto"/>
        <w:ind w:left="216" w:hanging="144"/>
      </w:pPr>
      <w:r>
        <w:rPr>
          <w:rFonts w:ascii="Noto Sans CJK SC" w:hAnsi="Noto Sans CJK SC" w:eastAsia="Noto Sans CJK SC" w:cs="Noto Sans CJK SC"/>
          <w:b/>
          <w:color w:val="1F2937"/>
          <w:sz w:val="15"/>
        </w:rPr>
        <w:t xml:space="preserve">• </w:t>
      </w:r>
      <w:r>
        <w:rPr>
          <w:rFonts w:ascii="Noto Sans CJK SC" w:hAnsi="Noto Sans CJK SC" w:eastAsia="Noto Sans CJK SC" w:cs="Noto Sans CJK SC"/>
          <w:b w:val="0"/>
          <w:color w:val="1F2937"/>
          <w:sz w:val="15"/>
        </w:rPr>
        <w:t>Gate 1：CONDITIONAL PASS，项目进入 Sprint 2；唯一 P0 主路径为“复现前准备度评估”。</w:t>
      </w:r>
    </w:p>
    <w:p>
      <w:pPr>
        <w:spacing w:before="100" w:after="40" w:line="240" w:lineRule="auto"/>
        <w:pBdr>
          <w:bottom w:val="single" w:sz="6" w:space="1" w:color="D9E6F2"/>
        </w:pBdr>
      </w:pPr>
      <w:r>
        <w:rPr>
          <w:rFonts w:ascii="Noto Sans CJK SC" w:hAnsi="Noto Sans CJK SC" w:eastAsia="Noto Sans CJK SC" w:cs="Noto Sans CJK SC"/>
          <w:b/>
          <w:color w:val="1F4E79"/>
          <w:sz w:val="20"/>
        </w:rPr>
        <w:t>2. Sprint 1 阶段结论与产品边界</w:t>
      </w:r>
    </w:p>
    <w:tbl>
      <w:tblPr>
        <w:tblW w:type="dxa" w:w="9948"/>
        <w:jc w:val="center"/>
        <w:tblLayout w:type="fixed"/>
        <w:tblLook w:firstColumn="1" w:firstRow="1" w:lastColumn="0" w:lastRow="0" w:noHBand="0" w:noVBand="1" w:val="04A0"/>
        <w:tblBorders>
          <w:top w:val="single" w:sz="4" w:space="0" w:color="CAD7E2"/>
          <w:left w:val="single" w:sz="4" w:space="0" w:color="CAD7E2"/>
          <w:bottom w:val="single" w:sz="4" w:space="0" w:color="CAD7E2"/>
          <w:right w:val="single" w:sz="4" w:space="0" w:color="CAD7E2"/>
          <w:insideH w:val="single" w:sz="4" w:space="0" w:color="CAD7E2"/>
          <w:insideV w:val="single" w:sz="4" w:space="0" w:color="CAD7E2"/>
        </w:tblBorders>
      </w:tblPr>
      <w:tblGrid>
        <w:gridCol w:w="3316"/>
        <w:gridCol w:w="3316"/>
        <w:gridCol w:w="3316"/>
      </w:tblGrid>
      <w:tr>
        <w:trPr>
          <w:cantSplit w:val="1"/>
        </w:trPr>
        <w:tc>
          <w:tcPr>
            <w:tcW w:type="dxa" w:w="3316"/>
            <w:shd w:fill="1F4E79" w:val="clear" w:color="auto"/>
            <w:tcMar>
              <w:top w:w="120" w:type="dxa"/>
              <w:start w:w="80" w:type="dxa"/>
              <w:bottom w:w="120" w:type="dxa"/>
              <w:end w:w="80" w:type="dxa"/>
              <w:left w:w="120" w:type="dxa"/>
              <w:right w:w="120" w:type="dxa"/>
            </w:tcMar>
            <w:vAlign w:val="center"/>
          </w:tcPr>
          <w:p>
            <w:pPr>
              <w:spacing w:before="0" w:after="20" w:line="240" w:lineRule="auto"/>
              <w:jc w:val="center"/>
            </w:pPr>
            <w:r>
              <w:rPr>
                <w:rFonts w:ascii="Noto Sans CJK SC" w:hAnsi="Noto Sans CJK SC" w:eastAsia="Noto Sans CJK SC" w:cs="Noto Sans CJK SC"/>
                <w:b/>
                <w:color w:val="FFFFFF"/>
                <w:sz w:val="15"/>
              </w:rPr>
              <w:t>假设</w:t>
            </w:r>
          </w:p>
        </w:tc>
        <w:tc>
          <w:tcPr>
            <w:tcW w:type="dxa" w:w="3316"/>
            <w:shd w:fill="1F4E79" w:val="clear" w:color="auto"/>
            <w:tcMar>
              <w:top w:w="120" w:type="dxa"/>
              <w:start w:w="80" w:type="dxa"/>
              <w:bottom w:w="120" w:type="dxa"/>
              <w:end w:w="80" w:type="dxa"/>
              <w:left w:w="120" w:type="dxa"/>
              <w:right w:w="120" w:type="dxa"/>
            </w:tcMar>
            <w:vAlign w:val="center"/>
          </w:tcPr>
          <w:p>
            <w:pPr>
              <w:spacing w:before="0" w:after="20" w:line="240" w:lineRule="auto"/>
              <w:jc w:val="center"/>
            </w:pPr>
            <w:r>
              <w:rPr>
                <w:rFonts w:ascii="Noto Sans CJK SC" w:hAnsi="Noto Sans CJK SC" w:eastAsia="Noto Sans CJK SC" w:cs="Noto Sans CJK SC"/>
                <w:b/>
                <w:color w:val="FFFFFF"/>
                <w:sz w:val="15"/>
              </w:rPr>
              <w:t>阶段状态</w:t>
            </w:r>
          </w:p>
        </w:tc>
        <w:tc>
          <w:tcPr>
            <w:tcW w:type="dxa" w:w="3316"/>
            <w:shd w:fill="1F4E79" w:val="clear" w:color="auto"/>
            <w:tcMar>
              <w:top w:w="120" w:type="dxa"/>
              <w:start w:w="80" w:type="dxa"/>
              <w:bottom w:w="120" w:type="dxa"/>
              <w:end w:w="80" w:type="dxa"/>
              <w:left w:w="120" w:type="dxa"/>
              <w:right w:w="120" w:type="dxa"/>
            </w:tcMar>
            <w:vAlign w:val="center"/>
          </w:tcPr>
          <w:p>
            <w:pPr>
              <w:spacing w:before="0" w:after="20" w:line="240" w:lineRule="auto"/>
              <w:jc w:val="center"/>
            </w:pPr>
            <w:r>
              <w:rPr>
                <w:rFonts w:ascii="Noto Sans CJK SC" w:hAnsi="Noto Sans CJK SC" w:eastAsia="Noto Sans CJK SC" w:cs="Noto Sans CJK SC"/>
                <w:b/>
                <w:color w:val="FFFFFF"/>
                <w:sz w:val="15"/>
              </w:rPr>
              <w:t>Sprint 2 使用边界</w:t>
            </w:r>
          </w:p>
        </w:tc>
      </w:tr>
      <w:tr>
        <w:trPr>
          <w:cantSplit w:val="1"/>
        </w:trPr>
        <w:tc>
          <w:tcPr>
            <w:tcW w:type="dxa" w:w="3316"/>
            <w:shd w:fill="FFFFFF" w:val="clear" w:color="auto"/>
            <w:tcMar>
              <w:top w:w="120" w:type="dxa"/>
              <w:start w:w="60" w:type="dxa"/>
              <w:bottom w:w="120" w:type="dxa"/>
              <w:end w:w="60" w:type="dxa"/>
              <w:left w:w="120" w:type="dxa"/>
              <w:right w:w="120" w:type="dxa"/>
            </w:tcMar>
            <w:vAlign w:val="center"/>
          </w:tcPr>
          <w:p>
            <w:pPr>
              <w:spacing w:before="0" w:after="20" w:line="240" w:lineRule="auto"/>
            </w:pPr>
            <w:r>
              <w:rPr>
                <w:rFonts w:ascii="Noto Sans CJK SC" w:hAnsi="Noto Sans CJK SC" w:eastAsia="Noto Sans CJK SC" w:cs="Noto Sans CJK SC"/>
                <w:b/>
                <w:color w:val="1F4E79"/>
                <w:sz w:val="15"/>
              </w:rPr>
              <w:t>H1</w:t>
            </w:r>
          </w:p>
        </w:tc>
        <w:tc>
          <w:tcPr>
            <w:tcW w:type="dxa" w:w="3316"/>
            <w:shd w:fill="FFFFFF" w:val="clear" w:color="auto"/>
            <w:tcMar>
              <w:top w:w="120" w:type="dxa"/>
              <w:start w:w="60" w:type="dxa"/>
              <w:bottom w:w="120" w:type="dxa"/>
              <w:end w:w="60" w:type="dxa"/>
              <w:left w:w="120" w:type="dxa"/>
              <w:right w:w="120" w:type="dxa"/>
            </w:tcMar>
            <w:vAlign w:val="center"/>
          </w:tcPr>
          <w:p>
            <w:pPr>
              <w:spacing w:before="0" w:after="20" w:line="240" w:lineRule="auto"/>
            </w:pPr>
            <w:r>
              <w:rPr>
                <w:rFonts w:ascii="Noto Sans CJK SC" w:hAnsi="Noto Sans CJK SC" w:eastAsia="Noto Sans CJK SC" w:cs="Noto Sans CJK SC"/>
                <w:b w:val="0"/>
                <w:color w:val="1F2937"/>
                <w:sz w:val="14"/>
              </w:rPr>
              <w:t>支持</w:t>
            </w:r>
          </w:p>
        </w:tc>
        <w:tc>
          <w:tcPr>
            <w:tcW w:type="dxa" w:w="3316"/>
            <w:shd w:fill="FFFFFF" w:val="clear" w:color="auto"/>
            <w:tcMar>
              <w:top w:w="120" w:type="dxa"/>
              <w:start w:w="60" w:type="dxa"/>
              <w:bottom w:w="120" w:type="dxa"/>
              <w:end w:w="60" w:type="dxa"/>
              <w:left w:w="120" w:type="dxa"/>
              <w:right w:w="120" w:type="dxa"/>
            </w:tcMar>
            <w:vAlign w:val="center"/>
          </w:tcPr>
          <w:p>
            <w:pPr>
              <w:spacing w:before="0" w:after="20" w:line="240" w:lineRule="auto"/>
            </w:pPr>
            <w:r>
              <w:rPr>
                <w:rFonts w:ascii="Noto Sans CJK SC" w:hAnsi="Noto Sans CJK SC" w:eastAsia="Noto Sans CJK SC" w:cs="Noto Sans CJK SC"/>
                <w:b w:val="0"/>
                <w:color w:val="1F2937"/>
                <w:sz w:val="14"/>
              </w:rPr>
              <w:t>作为 P0 主路径的问题侧依据，不重复验证问题存在性。</w:t>
            </w:r>
          </w:p>
        </w:tc>
      </w:tr>
      <w:tr>
        <w:trPr>
          <w:cantSplit w:val="1"/>
        </w:trPr>
        <w:tc>
          <w:tcPr>
            <w:tcW w:type="dxa" w:w="3316"/>
            <w:shd w:fill="F7F9FB" w:val="clear" w:color="auto"/>
            <w:tcMar>
              <w:top w:w="120" w:type="dxa"/>
              <w:start w:w="60" w:type="dxa"/>
              <w:bottom w:w="120" w:type="dxa"/>
              <w:end w:w="60" w:type="dxa"/>
              <w:left w:w="120" w:type="dxa"/>
              <w:right w:w="120" w:type="dxa"/>
            </w:tcMar>
            <w:vAlign w:val="center"/>
          </w:tcPr>
          <w:p>
            <w:pPr>
              <w:spacing w:before="0" w:after="20" w:line="240" w:lineRule="auto"/>
            </w:pPr>
            <w:r>
              <w:rPr>
                <w:rFonts w:ascii="Noto Sans CJK SC" w:hAnsi="Noto Sans CJK SC" w:eastAsia="Noto Sans CJK SC" w:cs="Noto Sans CJK SC"/>
                <w:b/>
                <w:color w:val="1F4E79"/>
                <w:sz w:val="15"/>
              </w:rPr>
              <w:t>H4</w:t>
            </w:r>
          </w:p>
        </w:tc>
        <w:tc>
          <w:tcPr>
            <w:tcW w:type="dxa" w:w="3316"/>
            <w:shd w:fill="F7F9FB" w:val="clear" w:color="auto"/>
            <w:tcMar>
              <w:top w:w="120" w:type="dxa"/>
              <w:start w:w="60" w:type="dxa"/>
              <w:bottom w:w="120" w:type="dxa"/>
              <w:end w:w="60" w:type="dxa"/>
              <w:left w:w="120" w:type="dxa"/>
              <w:right w:w="120" w:type="dxa"/>
            </w:tcMar>
            <w:vAlign w:val="center"/>
          </w:tcPr>
          <w:p>
            <w:pPr>
              <w:spacing w:before="0" w:after="20" w:line="240" w:lineRule="auto"/>
            </w:pPr>
            <w:r>
              <w:rPr>
                <w:rFonts w:ascii="Noto Sans CJK SC" w:hAnsi="Noto Sans CJK SC" w:eastAsia="Noto Sans CJK SC" w:cs="Noto Sans CJK SC"/>
                <w:b w:val="0"/>
                <w:color w:val="1F2937"/>
                <w:sz w:val="14"/>
              </w:rPr>
              <w:t>部分支持 / 证据不足</w:t>
            </w:r>
          </w:p>
        </w:tc>
        <w:tc>
          <w:tcPr>
            <w:tcW w:type="dxa" w:w="3316"/>
            <w:shd w:fill="F7F9FB" w:val="clear" w:color="auto"/>
            <w:tcMar>
              <w:top w:w="120" w:type="dxa"/>
              <w:start w:w="60" w:type="dxa"/>
              <w:bottom w:w="120" w:type="dxa"/>
              <w:end w:w="60" w:type="dxa"/>
              <w:left w:w="120" w:type="dxa"/>
              <w:right w:w="120" w:type="dxa"/>
            </w:tcMar>
            <w:vAlign w:val="center"/>
          </w:tcPr>
          <w:p>
            <w:pPr>
              <w:spacing w:before="0" w:after="20" w:line="240" w:lineRule="auto"/>
            </w:pPr>
            <w:r>
              <w:rPr>
                <w:rFonts w:ascii="Noto Sans CJK SC" w:hAnsi="Noto Sans CJK SC" w:eastAsia="Noto Sans CJK SC" w:cs="Noto Sans CJK SC"/>
                <w:b w:val="0"/>
                <w:color w:val="1F2937"/>
                <w:sz w:val="14"/>
              </w:rPr>
              <w:t>保留安全提示与人工审批底线；真实授权行为后续验证。</w:t>
            </w:r>
          </w:p>
        </w:tc>
      </w:tr>
      <w:tr>
        <w:trPr>
          <w:cantSplit w:val="1"/>
        </w:trPr>
        <w:tc>
          <w:tcPr>
            <w:tcW w:type="dxa" w:w="3316"/>
            <w:shd w:fill="FFFFFF" w:val="clear" w:color="auto"/>
            <w:tcMar>
              <w:top w:w="120" w:type="dxa"/>
              <w:start w:w="60" w:type="dxa"/>
              <w:bottom w:w="120" w:type="dxa"/>
              <w:end w:w="60" w:type="dxa"/>
              <w:left w:w="120" w:type="dxa"/>
              <w:right w:w="120" w:type="dxa"/>
            </w:tcMar>
            <w:vAlign w:val="center"/>
          </w:tcPr>
          <w:p>
            <w:pPr>
              <w:spacing w:before="0" w:after="20" w:line="240" w:lineRule="auto"/>
            </w:pPr>
            <w:r>
              <w:rPr>
                <w:rFonts w:ascii="Noto Sans CJK SC" w:hAnsi="Noto Sans CJK SC" w:eastAsia="Noto Sans CJK SC" w:cs="Noto Sans CJK SC"/>
                <w:b/>
                <w:color w:val="1F4E79"/>
                <w:sz w:val="15"/>
              </w:rPr>
              <w:t>H5</w:t>
            </w:r>
          </w:p>
        </w:tc>
        <w:tc>
          <w:tcPr>
            <w:tcW w:type="dxa" w:w="3316"/>
            <w:shd w:fill="FFFFFF" w:val="clear" w:color="auto"/>
            <w:tcMar>
              <w:top w:w="120" w:type="dxa"/>
              <w:start w:w="60" w:type="dxa"/>
              <w:bottom w:w="120" w:type="dxa"/>
              <w:end w:w="60" w:type="dxa"/>
              <w:left w:w="120" w:type="dxa"/>
              <w:right w:w="120" w:type="dxa"/>
            </w:tcMar>
            <w:vAlign w:val="center"/>
          </w:tcPr>
          <w:p>
            <w:pPr>
              <w:spacing w:before="0" w:after="20" w:line="240" w:lineRule="auto"/>
            </w:pPr>
            <w:r>
              <w:rPr>
                <w:rFonts w:ascii="Noto Sans CJK SC" w:hAnsi="Noto Sans CJK SC" w:eastAsia="Noto Sans CJK SC" w:cs="Noto Sans CJK SC"/>
                <w:b w:val="0"/>
                <w:color w:val="1F2937"/>
                <w:sz w:val="14"/>
              </w:rPr>
              <w:t>覆盖门槛已达到</w:t>
            </w:r>
          </w:p>
        </w:tc>
        <w:tc>
          <w:tcPr>
            <w:tcW w:type="dxa" w:w="3316"/>
            <w:shd w:fill="FFFFFF" w:val="clear" w:color="auto"/>
            <w:tcMar>
              <w:top w:w="120" w:type="dxa"/>
              <w:start w:w="60" w:type="dxa"/>
              <w:bottom w:w="120" w:type="dxa"/>
              <w:end w:w="60" w:type="dxa"/>
              <w:left w:w="120" w:type="dxa"/>
              <w:right w:w="120" w:type="dxa"/>
            </w:tcMar>
            <w:vAlign w:val="center"/>
          </w:tcPr>
          <w:p>
            <w:pPr>
              <w:spacing w:before="0" w:after="20" w:line="240" w:lineRule="auto"/>
            </w:pPr>
            <w:r>
              <w:rPr>
                <w:rFonts w:ascii="Noto Sans CJK SC" w:hAnsi="Noto Sans CJK SC" w:eastAsia="Noto Sans CJK SC" w:cs="Noto Sans CJK SC"/>
                <w:b w:val="0"/>
                <w:color w:val="1F2937"/>
                <w:sz w:val="14"/>
              </w:rPr>
              <w:t>三类诊断去重覆盖 18/20（90%）；90% 是案例覆盖率，不是诊断准确率。</w:t>
            </w:r>
          </w:p>
        </w:tc>
      </w:tr>
      <w:tr>
        <w:trPr>
          <w:cantSplit w:val="1"/>
        </w:trPr>
        <w:tc>
          <w:tcPr>
            <w:tcW w:type="dxa" w:w="3316"/>
            <w:shd w:fill="F7F9FB" w:val="clear" w:color="auto"/>
            <w:tcMar>
              <w:top w:w="120" w:type="dxa"/>
              <w:start w:w="60" w:type="dxa"/>
              <w:bottom w:w="120" w:type="dxa"/>
              <w:end w:w="60" w:type="dxa"/>
              <w:left w:w="120" w:type="dxa"/>
              <w:right w:w="120" w:type="dxa"/>
            </w:tcMar>
            <w:vAlign w:val="center"/>
          </w:tcPr>
          <w:p>
            <w:pPr>
              <w:spacing w:before="0" w:after="20" w:line="240" w:lineRule="auto"/>
            </w:pPr>
            <w:r>
              <w:rPr>
                <w:rFonts w:ascii="Noto Sans CJK SC" w:hAnsi="Noto Sans CJK SC" w:eastAsia="Noto Sans CJK SC" w:cs="Noto Sans CJK SC"/>
                <w:b/>
                <w:color w:val="1F4E79"/>
                <w:sz w:val="15"/>
              </w:rPr>
              <w:t>H6</w:t>
            </w:r>
          </w:p>
        </w:tc>
        <w:tc>
          <w:tcPr>
            <w:tcW w:type="dxa" w:w="3316"/>
            <w:shd w:fill="F7F9FB" w:val="clear" w:color="auto"/>
            <w:tcMar>
              <w:top w:w="120" w:type="dxa"/>
              <w:start w:w="60" w:type="dxa"/>
              <w:bottom w:w="120" w:type="dxa"/>
              <w:end w:w="60" w:type="dxa"/>
              <w:left w:w="120" w:type="dxa"/>
              <w:right w:w="120" w:type="dxa"/>
            </w:tcMar>
            <w:vAlign w:val="center"/>
          </w:tcPr>
          <w:p>
            <w:pPr>
              <w:spacing w:before="0" w:after="20" w:line="240" w:lineRule="auto"/>
            </w:pPr>
            <w:r>
              <w:rPr>
                <w:rFonts w:ascii="Noto Sans CJK SC" w:hAnsi="Noto Sans CJK SC" w:eastAsia="Noto Sans CJK SC" w:cs="Noto Sans CJK SC"/>
                <w:b w:val="0"/>
                <w:color w:val="1F2937"/>
                <w:sz w:val="14"/>
              </w:rPr>
              <w:t>需求侧信号</w:t>
            </w:r>
          </w:p>
        </w:tc>
        <w:tc>
          <w:tcPr>
            <w:tcW w:type="dxa" w:w="3316"/>
            <w:shd w:fill="F7F9FB" w:val="clear" w:color="auto"/>
            <w:tcMar>
              <w:top w:w="120" w:type="dxa"/>
              <w:start w:w="60" w:type="dxa"/>
              <w:bottom w:w="120" w:type="dxa"/>
              <w:end w:w="60" w:type="dxa"/>
              <w:left w:w="120" w:type="dxa"/>
              <w:right w:w="120" w:type="dxa"/>
            </w:tcMar>
            <w:vAlign w:val="center"/>
          </w:tcPr>
          <w:p>
            <w:pPr>
              <w:spacing w:before="0" w:after="20" w:line="240" w:lineRule="auto"/>
            </w:pPr>
            <w:r>
              <w:rPr>
                <w:rFonts w:ascii="Noto Sans CJK SC" w:hAnsi="Noto Sans CJK SC" w:eastAsia="Noto Sans CJK SC" w:cs="Noto Sans CJK SC"/>
                <w:b w:val="0"/>
                <w:color w:val="1F2937"/>
                <w:sz w:val="14"/>
              </w:rPr>
              <w:t>仅支持明确分享对象/意愿与信息同步信号；无真实分享或协同行为结论。</w:t>
            </w:r>
          </w:p>
        </w:tc>
      </w:tr>
      <w:tr>
        <w:trPr>
          <w:cantSplit w:val="1"/>
        </w:trPr>
        <w:tc>
          <w:tcPr>
            <w:tcW w:type="dxa" w:w="3316"/>
            <w:shd w:fill="FFFFFF" w:val="clear" w:color="auto"/>
            <w:tcMar>
              <w:top w:w="120" w:type="dxa"/>
              <w:start w:w="60" w:type="dxa"/>
              <w:bottom w:w="120" w:type="dxa"/>
              <w:end w:w="60" w:type="dxa"/>
              <w:left w:w="120" w:type="dxa"/>
              <w:right w:w="120" w:type="dxa"/>
            </w:tcMar>
            <w:vAlign w:val="center"/>
          </w:tcPr>
          <w:p>
            <w:pPr>
              <w:spacing w:before="0" w:after="20" w:line="240" w:lineRule="auto"/>
            </w:pPr>
            <w:r>
              <w:rPr>
                <w:rFonts w:ascii="Noto Sans CJK SC" w:hAnsi="Noto Sans CJK SC" w:eastAsia="Noto Sans CJK SC" w:cs="Noto Sans CJK SC"/>
                <w:b/>
                <w:color w:val="1F4E79"/>
                <w:sz w:val="15"/>
              </w:rPr>
              <w:t>H2</w:t>
            </w:r>
          </w:p>
        </w:tc>
        <w:tc>
          <w:tcPr>
            <w:tcW w:type="dxa" w:w="3316"/>
            <w:shd w:fill="FFFFFF" w:val="clear" w:color="auto"/>
            <w:tcMar>
              <w:top w:w="120" w:type="dxa"/>
              <w:start w:w="60" w:type="dxa"/>
              <w:bottom w:w="120" w:type="dxa"/>
              <w:end w:w="60" w:type="dxa"/>
              <w:left w:w="120" w:type="dxa"/>
              <w:right w:w="120" w:type="dxa"/>
            </w:tcMar>
            <w:vAlign w:val="center"/>
          </w:tcPr>
          <w:p>
            <w:pPr>
              <w:spacing w:before="0" w:after="20" w:line="240" w:lineRule="auto"/>
            </w:pPr>
            <w:r>
              <w:rPr>
                <w:rFonts w:ascii="Noto Sans CJK SC" w:hAnsi="Noto Sans CJK SC" w:eastAsia="Noto Sans CJK SC" w:cs="Noto Sans CJK SC"/>
                <w:b w:val="0"/>
                <w:color w:val="1F2937"/>
                <w:sz w:val="14"/>
              </w:rPr>
              <w:t>未正式验证</w:t>
            </w:r>
          </w:p>
        </w:tc>
        <w:tc>
          <w:tcPr>
            <w:tcW w:type="dxa" w:w="3316"/>
            <w:shd w:fill="FFFFFF" w:val="clear" w:color="auto"/>
            <w:tcMar>
              <w:top w:w="120" w:type="dxa"/>
              <w:start w:w="60" w:type="dxa"/>
              <w:bottom w:w="120" w:type="dxa"/>
              <w:end w:w="60" w:type="dxa"/>
              <w:left w:w="120" w:type="dxa"/>
              <w:right w:w="120" w:type="dxa"/>
            </w:tcMar>
            <w:vAlign w:val="center"/>
          </w:tcPr>
          <w:p>
            <w:pPr>
              <w:spacing w:before="0" w:after="20" w:line="240" w:lineRule="auto"/>
            </w:pPr>
            <w:r>
              <w:rPr>
                <w:rFonts w:ascii="Noto Sans CJK SC" w:hAnsi="Noto Sans CJK SC" w:eastAsia="Noto Sans CJK SC" w:cs="Noto Sans CJK SC"/>
                <w:b w:val="0"/>
                <w:color w:val="1F2937"/>
                <w:sz w:val="14"/>
              </w:rPr>
              <w:t>建立自由对话 Baseline、稳定结构化方案与正式 A/B 条件，不提前判定。</w:t>
            </w:r>
          </w:p>
        </w:tc>
      </w:tr>
      <w:tr>
        <w:trPr>
          <w:cantSplit w:val="1"/>
        </w:trPr>
        <w:tc>
          <w:tcPr>
            <w:tcW w:type="dxa" w:w="3316"/>
            <w:shd w:fill="F7F9FB" w:val="clear" w:color="auto"/>
            <w:tcMar>
              <w:top w:w="120" w:type="dxa"/>
              <w:start w:w="60" w:type="dxa"/>
              <w:bottom w:w="120" w:type="dxa"/>
              <w:end w:w="60" w:type="dxa"/>
              <w:left w:w="120" w:type="dxa"/>
              <w:right w:w="120" w:type="dxa"/>
            </w:tcMar>
            <w:vAlign w:val="center"/>
          </w:tcPr>
          <w:p>
            <w:pPr>
              <w:spacing w:before="0" w:after="20" w:line="240" w:lineRule="auto"/>
            </w:pPr>
            <w:r>
              <w:rPr>
                <w:rFonts w:ascii="Noto Sans CJK SC" w:hAnsi="Noto Sans CJK SC" w:eastAsia="Noto Sans CJK SC" w:cs="Noto Sans CJK SC"/>
                <w:b/>
                <w:color w:val="1F4E79"/>
                <w:sz w:val="15"/>
              </w:rPr>
              <w:t>H3</w:t>
            </w:r>
          </w:p>
        </w:tc>
        <w:tc>
          <w:tcPr>
            <w:tcW w:type="dxa" w:w="3316"/>
            <w:shd w:fill="F7F9FB" w:val="clear" w:color="auto"/>
            <w:tcMar>
              <w:top w:w="120" w:type="dxa"/>
              <w:start w:w="60" w:type="dxa"/>
              <w:bottom w:w="120" w:type="dxa"/>
              <w:end w:w="60" w:type="dxa"/>
              <w:left w:w="120" w:type="dxa"/>
              <w:right w:w="120" w:type="dxa"/>
            </w:tcMar>
            <w:vAlign w:val="center"/>
          </w:tcPr>
          <w:p>
            <w:pPr>
              <w:spacing w:before="0" w:after="20" w:line="240" w:lineRule="auto"/>
            </w:pPr>
            <w:r>
              <w:rPr>
                <w:rFonts w:ascii="Noto Sans CJK SC" w:hAnsi="Noto Sans CJK SC" w:eastAsia="Noto Sans CJK SC" w:cs="Noto Sans CJK SC"/>
                <w:b w:val="0"/>
                <w:color w:val="1F2937"/>
                <w:sz w:val="14"/>
              </w:rPr>
              <w:t>未正式验证</w:t>
            </w:r>
          </w:p>
        </w:tc>
        <w:tc>
          <w:tcPr>
            <w:tcW w:type="dxa" w:w="3316"/>
            <w:shd w:fill="F7F9FB" w:val="clear" w:color="auto"/>
            <w:tcMar>
              <w:top w:w="120" w:type="dxa"/>
              <w:start w:w="60" w:type="dxa"/>
              <w:bottom w:w="120" w:type="dxa"/>
              <w:end w:w="60" w:type="dxa"/>
              <w:left w:w="120" w:type="dxa"/>
              <w:right w:w="120" w:type="dxa"/>
            </w:tcMar>
            <w:vAlign w:val="center"/>
          </w:tcPr>
          <w:p>
            <w:pPr>
              <w:spacing w:before="0" w:after="20" w:line="240" w:lineRule="auto"/>
            </w:pPr>
            <w:r>
              <w:rPr>
                <w:rFonts w:ascii="Noto Sans CJK SC" w:hAnsi="Noto Sans CJK SC" w:eastAsia="Noto Sans CJK SC" w:cs="Noto Sans CJK SC"/>
                <w:b w:val="0"/>
                <w:color w:val="1F2937"/>
                <w:sz w:val="14"/>
              </w:rPr>
              <w:t>实现证据展开/定位并记录探索信号；概念测试不等同于正式通过。</w:t>
            </w:r>
          </w:p>
        </w:tc>
      </w:tr>
    </w:tbl>
    <w:p>
      <w:pPr>
        <w:spacing w:before="0" w:after="40" w:line="240" w:lineRule="auto"/>
      </w:pPr>
      <w:r>
        <w:rPr>
          <w:rFonts w:ascii="Noto Sans CJK SC" w:hAnsi="Noto Sans CJK SC" w:eastAsia="Noto Sans CJK SC" w:cs="Noto Sans CJK SC"/>
          <w:b w:val="0"/>
          <w:color w:val="1F2937"/>
          <w:sz w:val="15"/>
        </w:rPr>
        <w:t>产品范围：P0 承接 P07 证据链、P01 数据与权限、P02 依赖与环境、P03 权重与配置；P04 资源需求、P05 运行后诊断为 P1，P06 评测口径为 P2 / 持续观察。三类诊断仅作为 P1 辅助路径，不构成 Sprint 3 P0 实现门槛。</w:t>
      </w:r>
    </w:p>
    <w:p>
      <w:pPr>
        <w:spacing w:before="0" w:after="40" w:line="240" w:lineRule="auto"/>
      </w:pPr>
      <w:r>
        <w:rPr>
          <w:rFonts w:ascii="Noto Sans CJK SC" w:hAnsi="Noto Sans CJK SC" w:eastAsia="Noto Sans CJK SC" w:cs="Noto Sans CJK SC"/>
          <w:b w:val="0"/>
          <w:color w:val="1F2937"/>
          <w:sz w:val="15"/>
        </w:rPr>
        <w:t>首版不扩展为自动完整复现、训练调参、GPU 调度、复杂团队协作、多 Agent / MCP 平台化或通用科研项目管理。</w:t>
      </w:r>
    </w:p>
    <w:p>
      <w:pPr>
        <w:spacing w:before="100" w:after="40" w:line="240" w:lineRule="auto"/>
        <w:pBdr>
          <w:bottom w:val="single" w:sz="6" w:space="1" w:color="D9E6F2"/>
        </w:pBdr>
      </w:pPr>
      <w:r>
        <w:rPr>
          <w:rFonts w:ascii="Noto Sans CJK SC" w:hAnsi="Noto Sans CJK SC" w:eastAsia="Noto Sans CJK SC" w:cs="Noto Sans CJK SC"/>
          <w:b/>
          <w:color w:val="1F4E79"/>
          <w:sz w:val="20"/>
        </w:rPr>
        <w:t>3. Sprint 2 待验证问题</w:t>
      </w:r>
    </w:p>
    <w:p>
      <w:pPr>
        <w:spacing w:before="0" w:after="40" w:line="240" w:lineRule="auto"/>
        <w:ind w:left="216" w:hanging="144"/>
      </w:pPr>
      <w:r>
        <w:rPr>
          <w:rFonts w:ascii="Noto Sans CJK SC" w:hAnsi="Noto Sans CJK SC" w:eastAsia="Noto Sans CJK SC" w:cs="Noto Sans CJK SC"/>
          <w:b/>
          <w:color w:val="1F2937"/>
          <w:sz w:val="15"/>
        </w:rPr>
        <w:t xml:space="preserve">• </w:t>
      </w:r>
      <w:r>
        <w:rPr>
          <w:rFonts w:ascii="Noto Sans CJK SC" w:hAnsi="Noto Sans CJK SC" w:eastAsia="Noto Sans CJK SC" w:cs="Noto Sans CJK SC"/>
          <w:b w:val="0"/>
          <w:color w:val="1F2937"/>
          <w:sz w:val="15"/>
        </w:rPr>
        <w:t>H2：在相同材料、任务与约束下，结构化准备度评估是否比通用大模型自由对话更帮助用户形成可执行复现决策；本 Sprint 仅建立条件与探索信号。</w:t>
      </w:r>
    </w:p>
    <w:p>
      <w:pPr>
        <w:spacing w:before="0" w:after="40" w:line="240" w:lineRule="auto"/>
        <w:ind w:left="216" w:hanging="144"/>
      </w:pPr>
      <w:r>
        <w:rPr>
          <w:rFonts w:ascii="Noto Sans CJK SC" w:hAnsi="Noto Sans CJK SC" w:eastAsia="Noto Sans CJK SC" w:cs="Noto Sans CJK SC"/>
          <w:b/>
          <w:color w:val="1F2937"/>
          <w:sz w:val="15"/>
        </w:rPr>
        <w:t xml:space="preserve">• </w:t>
      </w:r>
      <w:r>
        <w:rPr>
          <w:rFonts w:ascii="Noto Sans CJK SC" w:hAnsi="Noto Sans CJK SC" w:eastAsia="Noto Sans CJK SC" w:cs="Noto Sans CJK SC"/>
          <w:b w:val="0"/>
          <w:color w:val="1F2937"/>
          <w:sz w:val="15"/>
        </w:rPr>
        <w:t>H3：证据展开/定位是否帮助用户理解结论并发现或修正问题；概念测试中的查看行为不自动等同于 H3 正式通过。</w:t>
      </w:r>
    </w:p>
    <w:p>
      <w:pPr>
        <w:spacing w:before="0" w:after="40" w:line="240" w:lineRule="auto"/>
        <w:ind w:left="216" w:hanging="144"/>
      </w:pPr>
      <w:r>
        <w:rPr>
          <w:rFonts w:ascii="Noto Sans CJK SC" w:hAnsi="Noto Sans CJK SC" w:eastAsia="Noto Sans CJK SC" w:cs="Noto Sans CJK SC"/>
          <w:b/>
          <w:color w:val="1F2937"/>
          <w:sz w:val="15"/>
        </w:rPr>
        <w:t xml:space="preserve">• </w:t>
      </w:r>
      <w:r>
        <w:rPr>
          <w:rFonts w:ascii="Noto Sans CJK SC" w:hAnsi="Noto Sans CJK SC" w:eastAsia="Noto Sans CJK SC" w:cs="Noto Sans CJK SC"/>
          <w:b w:val="0"/>
          <w:color w:val="1F2937"/>
          <w:sz w:val="15"/>
        </w:rPr>
        <w:t>Baseline 断点：A 为通用大模型自由对话；B 为人工查阅论文、README、GitHub Issue、配置/脚本并在需要时搜索；C 为可选 AI 编程/仓库理解工具。重点记录信息缺失、证据不可定位、未知未暴露、风险遗漏和行动不清。</w:t>
      </w:r>
    </w:p>
    <w:p>
      <w:pPr>
        <w:spacing w:before="0" w:after="40" w:line="240" w:lineRule="auto"/>
        <w:ind w:left="216" w:hanging="144"/>
      </w:pPr>
      <w:r>
        <w:rPr>
          <w:rFonts w:ascii="Noto Sans CJK SC" w:hAnsi="Noto Sans CJK SC" w:eastAsia="Noto Sans CJK SC" w:cs="Noto Sans CJK SC"/>
          <w:b/>
          <w:color w:val="1F2937"/>
          <w:sz w:val="15"/>
        </w:rPr>
        <w:t xml:space="preserve">• </w:t>
      </w:r>
      <w:r>
        <w:rPr>
          <w:rFonts w:ascii="Noto Sans CJK SC" w:hAnsi="Noto Sans CJK SC" w:eastAsia="Noto Sans CJK SC" w:cs="Noto Sans CJK SC"/>
          <w:b w:val="0"/>
          <w:color w:val="1F2937"/>
          <w:sz w:val="15"/>
        </w:rPr>
        <w:t>Gate 1 最小解决方案验证：观察准备度报告是否改变决策或复现计划；审计关键“已满足 / 阻塞 / 未知”判断的内容正确性、可追溯性和可解释性；观察相对现有替代方案的初步增量价值。</w:t>
      </w:r>
    </w:p>
    <w:tbl>
      <w:tblPr>
        <w:tblW w:type="dxa" w:w="9950"/>
        <w:jc w:val="center"/>
        <w:tblLayout w:type="autofit"/>
        <w:tblLook w:firstColumn="1" w:firstRow="1" w:lastColumn="0" w:lastRow="0" w:noHBand="0" w:noVBand="1" w:val="04A0"/>
        <w:tblBorders>
          <w:top w:val="single" w:sz="4" w:space="0" w:color="CAD7E2"/>
          <w:left w:val="single" w:sz="4" w:space="0" w:color="CAD7E2"/>
          <w:bottom w:val="single" w:sz="4" w:space="0" w:color="CAD7E2"/>
          <w:right w:val="single" w:sz="4" w:space="0" w:color="CAD7E2"/>
          <w:insideH w:val="single" w:sz="4" w:space="0" w:color="CAD7E2"/>
          <w:insideV w:val="single" w:sz="4" w:space="0" w:color="CAD7E2"/>
        </w:tblBorders>
      </w:tblPr>
      <w:tblGrid>
        <w:gridCol w:w="9950"/>
      </w:tblGrid>
      <w:tr>
        <w:trPr>
          <w:cantSplit w:val="1"/>
        </w:trPr>
        <w:tc>
          <w:tcPr>
            <w:tcW w:type="dxa" w:w="9950"/>
            <w:shd w:fill="FFF4E5"/>
            <w:tcMar>
              <w:top w:w="120" w:type="dxa"/>
              <w:start w:w="100" w:type="dxa"/>
              <w:bottom w:w="120" w:type="dxa"/>
              <w:end w:w="100" w:type="dxa"/>
              <w:left w:w="120" w:type="dxa"/>
              <w:right w:w="120" w:type="dxa"/>
            </w:tcMar>
            <w:tcBorders>
              <w:top w:val="single" w:sz="6" w:color="D97706"/>
              <w:left w:val="single" w:sz="6" w:color="D97706"/>
              <w:bottom w:val="single" w:sz="6" w:color="D97706"/>
              <w:right w:val="single" w:sz="6" w:color="D97706"/>
            </w:tcBorders>
            <w:vAlign w:val="center"/>
          </w:tcPr>
          <w:p>
            <w:pPr>
              <w:spacing w:before="0" w:after="20" w:line="240" w:lineRule="auto"/>
            </w:pPr>
            <w:r>
              <w:rPr>
                <w:rFonts w:ascii="Noto Sans CJK SC" w:hAnsi="Noto Sans CJK SC" w:eastAsia="Noto Sans CJK SC" w:cs="Noto Sans CJK SC"/>
                <w:b w:val="0"/>
                <w:color w:val="1F2937"/>
                <w:sz w:val="14"/>
              </w:rPr>
              <w:t>决策真实性边界：优先使用具有真实或近期复现意图的用户/任务；若仅使用统一 FGI 场景且参与者无真实复现意图，只能记录为“模拟决策行为信号”，不得表述为“真实决策价值已验证”。</w:t>
            </w:r>
          </w:p>
        </w:tc>
      </w:tr>
    </w:tbl>
    <w:p>
      <w:pPr>
        <w:spacing w:before="100" w:after="40" w:line="240" w:lineRule="auto"/>
        <w:pBdr>
          <w:bottom w:val="single" w:sz="6" w:space="1" w:color="D9E6F2"/>
        </w:pBdr>
      </w:pPr>
      <w:r>
        <w:rPr>
          <w:rFonts w:ascii="Noto Sans CJK SC" w:hAnsi="Noto Sans CJK SC" w:eastAsia="Noto Sans CJK SC" w:cs="Noto Sans CJK SC"/>
          <w:b/>
          <w:color w:val="1F4E79"/>
          <w:sz w:val="20"/>
        </w:rPr>
        <w:t>4. Sprint 2 本周目标与出口</w:t>
      </w:r>
    </w:p>
    <w:p>
      <w:pPr>
        <w:spacing w:before="0" w:after="40" w:line="240" w:lineRule="auto"/>
      </w:pPr>
      <w:r>
        <w:rPr>
          <w:rFonts w:ascii="Noto Sans CJK SC" w:hAnsi="Noto Sans CJK SC" w:eastAsia="Noto Sans CJK SC" w:cs="Noto Sans CJK SC"/>
          <w:b w:val="0"/>
          <w:color w:val="1F2937"/>
          <w:sz w:val="15"/>
        </w:rPr>
        <w:t>核心目标：把 Sprint 1 已验证的问题空间转化为一个可测试、可解释、可交接的 ResearchOps 解决方案，而不是重新做问题研究或传统竞品功能比较。</w:t>
      </w:r>
    </w:p>
    <w:tbl>
      <w:tblPr>
        <w:tblW w:type="dxa" w:w="9950"/>
        <w:jc w:val="center"/>
        <w:tblLayout w:type="fixed"/>
        <w:tblLook w:firstColumn="1" w:firstRow="1" w:lastColumn="0" w:lastRow="0" w:noHBand="0" w:noVBand="1" w:val="04A0"/>
        <w:tblBorders>
          <w:top w:val="single" w:sz="4" w:space="0" w:color="CAD7E2"/>
          <w:left w:val="single" w:sz="4" w:space="0" w:color="CAD7E2"/>
          <w:bottom w:val="single" w:sz="4" w:space="0" w:color="CAD7E2"/>
          <w:right w:val="single" w:sz="4" w:space="0" w:color="CAD7E2"/>
          <w:insideH w:val="single" w:sz="4" w:space="0" w:color="CAD7E2"/>
          <w:insideV w:val="single" w:sz="4" w:space="0" w:color="CAD7E2"/>
        </w:tblBorders>
      </w:tblPr>
      <w:tblGrid>
        <w:gridCol w:w="4975"/>
        <w:gridCol w:w="4975"/>
      </w:tblGrid>
      <w:tr>
        <w:trPr>
          <w:cantSplit w:val="1"/>
        </w:trPr>
        <w:tc>
          <w:tcPr>
            <w:tcW w:type="dxa" w:w="4975"/>
            <w:shd w:fill="FFFFFF"/>
            <w:tcMar>
              <w:top w:w="120" w:type="dxa"/>
              <w:start w:w="70" w:type="dxa"/>
              <w:bottom w:w="120" w:type="dxa"/>
              <w:end w:w="70" w:type="dxa"/>
              <w:left w:w="120" w:type="dxa"/>
              <w:right w:w="120" w:type="dxa"/>
            </w:tcMar>
            <w:vAlign w:val="center"/>
          </w:tcPr>
          <w:p>
            <w:pPr>
              <w:spacing w:before="0" w:after="20" w:line="240" w:lineRule="auto"/>
            </w:pPr>
            <w:r>
              <w:rPr>
                <w:rFonts w:ascii="Noto Sans CJK SC" w:hAnsi="Noto Sans CJK SC" w:eastAsia="Noto Sans CJK SC" w:cs="Noto Sans CJK SC"/>
                <w:b/>
                <w:color w:val="1F4E79"/>
                <w:sz w:val="15"/>
              </w:rPr>
              <w:t>Baseline 证据｜</w:t>
            </w:r>
            <w:r>
              <w:rPr>
                <w:rFonts w:ascii="Noto Sans CJK SC" w:hAnsi="Noto Sans CJK SC" w:eastAsia="Noto Sans CJK SC" w:cs="Noto Sans CJK SC"/>
                <w:b w:val="0"/>
                <w:color w:val="1F2937"/>
                <w:sz w:val="14"/>
              </w:rPr>
              <w:t>A/B 必测，C 可选；统一任务与 Input Pack；保留完整原始输出、耗时、追问、失败和无法判断。</w:t>
            </w:r>
          </w:p>
        </w:tc>
        <w:tc>
          <w:tcPr>
            <w:tcW w:type="dxa" w:w="4975"/>
            <w:shd w:fill="FFFFFF"/>
            <w:tcMar>
              <w:top w:w="120" w:type="dxa"/>
              <w:start w:w="70" w:type="dxa"/>
              <w:bottom w:w="120" w:type="dxa"/>
              <w:end w:w="70" w:type="dxa"/>
              <w:left w:w="120" w:type="dxa"/>
              <w:right w:w="120" w:type="dxa"/>
            </w:tcMar>
            <w:vAlign w:val="center"/>
          </w:tcPr>
          <w:p>
            <w:pPr>
              <w:spacing w:before="0" w:after="20" w:line="240" w:lineRule="auto"/>
            </w:pPr>
            <w:r>
              <w:rPr>
                <w:rFonts w:ascii="Noto Sans CJK SC" w:hAnsi="Noto Sans CJK SC" w:eastAsia="Noto Sans CJK SC" w:cs="Noto Sans CJK SC"/>
                <w:b/>
                <w:color w:val="1F4E79"/>
                <w:sz w:val="15"/>
              </w:rPr>
              <w:t>断点与机会｜</w:t>
            </w:r>
            <w:r>
              <w:rPr>
                <w:rFonts w:ascii="Noto Sans CJK SC" w:hAnsi="Noto Sans CJK SC" w:eastAsia="Noto Sans CJK SC" w:cs="Noto Sans CJK SC"/>
                <w:b w:val="0"/>
                <w:color w:val="1F2937"/>
                <w:sz w:val="14"/>
              </w:rPr>
              <w:t>形成“替代方案断点 → 用户影响 → ResearchOps 设计响应”的 Opportunity Map。</w:t>
            </w:r>
          </w:p>
        </w:tc>
      </w:tr>
      <w:tr>
        <w:trPr>
          <w:cantSplit w:val="1"/>
        </w:trPr>
        <w:tc>
          <w:tcPr>
            <w:tcW w:type="dxa" w:w="4975"/>
            <w:shd w:fill="F8FAFC"/>
            <w:tcMar>
              <w:top w:w="120" w:type="dxa"/>
              <w:start w:w="70" w:type="dxa"/>
              <w:bottom w:w="120" w:type="dxa"/>
              <w:end w:w="70" w:type="dxa"/>
              <w:left w:w="120" w:type="dxa"/>
              <w:right w:w="120" w:type="dxa"/>
            </w:tcMar>
            <w:vAlign w:val="center"/>
          </w:tcPr>
          <w:p>
            <w:pPr>
              <w:spacing w:before="0" w:after="20" w:line="240" w:lineRule="auto"/>
            </w:pPr>
            <w:r>
              <w:rPr>
                <w:rFonts w:ascii="Noto Sans CJK SC" w:hAnsi="Noto Sans CJK SC" w:eastAsia="Noto Sans CJK SC" w:cs="Noto Sans CJK SC"/>
                <w:b/>
                <w:color w:val="1F4E79"/>
                <w:sz w:val="15"/>
              </w:rPr>
              <w:t>产品与原型｜</w:t>
            </w:r>
            <w:r>
              <w:rPr>
                <w:rFonts w:ascii="Noto Sans CJK SC" w:hAnsi="Noto Sans CJK SC" w:eastAsia="Noto Sans CJK SC" w:cs="Noto Sans CJK SC"/>
                <w:b w:val="0"/>
                <w:color w:val="1F2937"/>
                <w:sz w:val="14"/>
              </w:rPr>
              <w:t>冻结六维准备度卡、状态/证据/未知/行动结构、PRD/Schema/事件字段；完成可点击 Figma 与内部 Dry-run。</w:t>
            </w:r>
          </w:p>
        </w:tc>
        <w:tc>
          <w:tcPr>
            <w:tcW w:type="dxa" w:w="4975"/>
            <w:shd w:fill="F8FAFC"/>
            <w:tcMar>
              <w:top w:w="120" w:type="dxa"/>
              <w:start w:w="70" w:type="dxa"/>
              <w:bottom w:w="120" w:type="dxa"/>
              <w:end w:w="70" w:type="dxa"/>
              <w:left w:w="120" w:type="dxa"/>
              <w:right w:w="120" w:type="dxa"/>
            </w:tcMar>
            <w:vAlign w:val="center"/>
          </w:tcPr>
          <w:p>
            <w:pPr>
              <w:spacing w:before="0" w:after="20" w:line="240" w:lineRule="auto"/>
            </w:pPr>
            <w:r>
              <w:rPr>
                <w:rFonts w:ascii="Noto Sans CJK SC" w:hAnsi="Noto Sans CJK SC" w:eastAsia="Noto Sans CJK SC" w:cs="Noto Sans CJK SC"/>
                <w:b/>
                <w:color w:val="1F4E79"/>
                <w:sz w:val="15"/>
              </w:rPr>
              <w:t>概念测试｜</w:t>
            </w:r>
            <w:r>
              <w:rPr>
                <w:rFonts w:ascii="Noto Sans CJK SC" w:hAnsi="Noto Sans CJK SC" w:eastAsia="Noto Sans CJK SC" w:cs="Noto Sans CJK SC"/>
                <w:b w:val="0"/>
                <w:color w:val="1F2937"/>
                <w:sz w:val="14"/>
              </w:rPr>
              <w:t>2–3 名真实首发核心用户异步测试；至少 2/3 能独立说清当前结论、主要风险和第一步行动。</w:t>
            </w:r>
          </w:p>
        </w:tc>
      </w:tr>
      <w:tr>
        <w:trPr>
          <w:cantSplit w:val="1"/>
        </w:trPr>
        <w:tc>
          <w:tcPr>
            <w:tcW w:type="dxa" w:w="4975"/>
            <w:shd w:fill="FFFFFF"/>
            <w:tcMar>
              <w:top w:w="120" w:type="dxa"/>
              <w:start w:w="70" w:type="dxa"/>
              <w:bottom w:w="120" w:type="dxa"/>
              <w:end w:w="70" w:type="dxa"/>
              <w:left w:w="120" w:type="dxa"/>
              <w:right w:w="120" w:type="dxa"/>
            </w:tcMar>
            <w:vAlign w:val="center"/>
          </w:tcPr>
          <w:p>
            <w:pPr>
              <w:spacing w:before="0" w:after="20" w:line="240" w:lineRule="auto"/>
            </w:pPr>
            <w:r>
              <w:rPr>
                <w:rFonts w:ascii="Noto Sans CJK SC" w:hAnsi="Noto Sans CJK SC" w:eastAsia="Noto Sans CJK SC" w:cs="Noto Sans CJK SC"/>
                <w:b/>
                <w:color w:val="1F4E79"/>
                <w:sz w:val="15"/>
              </w:rPr>
              <w:t>最小解决方案验证｜</w:t>
            </w:r>
            <w:r>
              <w:rPr>
                <w:rFonts w:ascii="Noto Sans CJK SC" w:hAnsi="Noto Sans CJK SC" w:eastAsia="Noto Sans CJK SC" w:cs="Noto Sans CJK SC"/>
                <w:b w:val="0"/>
                <w:color w:val="1F2937"/>
                <w:sz w:val="14"/>
              </w:rPr>
              <w:t>记录决策/计划调整；审计关键状态判断；在同一输入包、同一决策问题和相同评价维度下观察初步增量价值。</w:t>
            </w:r>
          </w:p>
        </w:tc>
        <w:tc>
          <w:tcPr>
            <w:tcW w:type="dxa" w:w="4975"/>
            <w:shd w:fill="FFFFFF"/>
            <w:tcMar>
              <w:top w:w="120" w:type="dxa"/>
              <w:start w:w="70" w:type="dxa"/>
              <w:bottom w:w="120" w:type="dxa"/>
              <w:end w:w="70" w:type="dxa"/>
              <w:left w:w="120" w:type="dxa"/>
              <w:right w:w="120" w:type="dxa"/>
            </w:tcMar>
            <w:vAlign w:val="center"/>
          </w:tcPr>
          <w:p>
            <w:pPr>
              <w:spacing w:before="0" w:after="20" w:line="240" w:lineRule="auto"/>
            </w:pPr>
            <w:r>
              <w:rPr>
                <w:rFonts w:ascii="Noto Sans CJK SC" w:hAnsi="Noto Sans CJK SC" w:eastAsia="Noto Sans CJK SC" w:cs="Noto Sans CJK SC"/>
                <w:b/>
                <w:color w:val="1F4E79"/>
                <w:sz w:val="15"/>
              </w:rPr>
              <w:t>H2/H3 实验准备｜</w:t>
            </w:r>
            <w:r>
              <w:rPr>
                <w:rFonts w:ascii="Noto Sans CJK SC" w:hAnsi="Noto Sans CJK SC" w:eastAsia="Noto Sans CJK SC" w:cs="Noto Sans CJK SC"/>
                <w:b w:val="0"/>
                <w:color w:val="1F2937"/>
                <w:sz w:val="14"/>
              </w:rPr>
              <w:t>完成正式预注册：实验对象、控制变量、指标、记录字段、门槛、失败判定与不可提前声称的结论。</w:t>
            </w:r>
          </w:p>
        </w:tc>
      </w:tr>
      <w:tr>
        <w:trPr>
          <w:cantSplit w:val="1"/>
        </w:trPr>
        <w:tc>
          <w:tcPr>
            <w:tcW w:type="dxa" w:w="4975"/>
            <w:shd w:fill="F8FAFC"/>
            <w:tcMar>
              <w:top w:w="120" w:type="dxa"/>
              <w:start w:w="70" w:type="dxa"/>
              <w:bottom w:w="120" w:type="dxa"/>
              <w:end w:w="70" w:type="dxa"/>
              <w:left w:w="120" w:type="dxa"/>
              <w:right w:w="120" w:type="dxa"/>
            </w:tcMar>
            <w:vAlign w:val="center"/>
          </w:tcPr>
          <w:p>
            <w:pPr>
              <w:spacing w:before="0" w:after="20" w:line="240" w:lineRule="auto"/>
            </w:pPr>
            <w:r>
              <w:rPr>
                <w:rFonts w:ascii="Noto Sans CJK SC" w:hAnsi="Noto Sans CJK SC" w:eastAsia="Noto Sans CJK SC" w:cs="Noto Sans CJK SC"/>
                <w:b/>
                <w:color w:val="1F4E79"/>
                <w:sz w:val="15"/>
              </w:rPr>
              <w:t>Sprint 3 Handoff｜</w:t>
            </w:r>
            <w:r>
              <w:rPr>
                <w:rFonts w:ascii="Noto Sans CJK SC" w:hAnsi="Noto Sans CJK SC" w:eastAsia="Noto Sans CJK SC" w:cs="Noto Sans CJK SC"/>
                <w:b w:val="0"/>
                <w:color w:val="1F2937"/>
                <w:sz w:val="14"/>
              </w:rPr>
              <w:t>P0 页面、字段、状态、交互、事件和安全审批逻辑对齐；三类诊断作为 P1 辅助路径单独交接。</w:t>
            </w:r>
          </w:p>
        </w:tc>
        <w:tc>
          <w:tcPr>
            <w:tcW w:type="dxa" w:w="4975"/>
            <w:shd w:fill="F8FAFC"/>
            <w:tcMar>
              <w:top w:w="120" w:type="dxa"/>
              <w:start w:w="70" w:type="dxa"/>
              <w:bottom w:w="120" w:type="dxa"/>
              <w:end w:w="70" w:type="dxa"/>
              <w:left w:w="120" w:type="dxa"/>
              <w:right w:w="120" w:type="dxa"/>
            </w:tcMar>
            <w:vAlign w:val="center"/>
          </w:tcPr>
          <w:p>
            <w:pPr>
              <w:spacing w:before="0" w:after="20" w:line="240" w:lineRule="auto"/>
            </w:pPr>
            <w:r>
              <w:rPr>
                <w:rFonts w:ascii="Noto Sans CJK SC" w:hAnsi="Noto Sans CJK SC" w:eastAsia="Noto Sans CJK SC" w:cs="Noto Sans CJK SC"/>
                <w:b/>
                <w:color w:val="1F4E79"/>
                <w:sz w:val="15"/>
              </w:rPr>
              <w:t>统一输入包｜</w:t>
            </w:r>
            <w:r>
              <w:rPr>
                <w:rFonts w:ascii="Noto Sans CJK SC" w:hAnsi="Noto Sans CJK SC" w:eastAsia="Noto Sans CJK SC" w:cs="Noto Sans CJK SC"/>
                <w:b w:val="0"/>
                <w:color w:val="1F2937"/>
                <w:sz w:val="14"/>
              </w:rPr>
              <w:t>04_Async_Tests/20260809_Sprint2_Solution_Validation/01_Baseline_Test/02_Input_Pack/20260809_FGI_Baseline_Input_Pack_V1/</w:t>
            </w:r>
          </w:p>
        </w:tc>
      </w:tr>
    </w:tbl>
    <w:tbl>
      <w:tblPr>
        <w:tblW w:type="dxa" w:w="9950"/>
        <w:jc w:val="center"/>
        <w:tblLayout w:type="autofit"/>
        <w:tblLook w:firstColumn="1" w:firstRow="1" w:lastColumn="0" w:lastRow="0" w:noHBand="0" w:noVBand="1" w:val="04A0"/>
        <w:tblBorders>
          <w:top w:val="single" w:sz="4" w:space="0" w:color="CAD7E2"/>
          <w:left w:val="single" w:sz="4" w:space="0" w:color="CAD7E2"/>
          <w:bottom w:val="single" w:sz="4" w:space="0" w:color="CAD7E2"/>
          <w:right w:val="single" w:sz="4" w:space="0" w:color="CAD7E2"/>
          <w:insideH w:val="single" w:sz="4" w:space="0" w:color="CAD7E2"/>
          <w:insideV w:val="single" w:sz="4" w:space="0" w:color="CAD7E2"/>
        </w:tblBorders>
      </w:tblPr>
      <w:tblGrid>
        <w:gridCol w:w="9950"/>
      </w:tblGrid>
      <w:tr>
        <w:trPr>
          <w:cantSplit w:val="1"/>
        </w:trPr>
        <w:tc>
          <w:tcPr>
            <w:tcW w:type="dxa" w:w="9950"/>
            <w:shd w:fill="FDECEC"/>
            <w:tcMar>
              <w:top w:w="120" w:type="dxa"/>
              <w:start w:w="100" w:type="dxa"/>
              <w:bottom w:w="120" w:type="dxa"/>
              <w:end w:w="100" w:type="dxa"/>
              <w:left w:w="120" w:type="dxa"/>
              <w:right w:w="120" w:type="dxa"/>
            </w:tcMar>
            <w:tcBorders>
              <w:top w:val="single" w:sz="6" w:color="B91C1C"/>
              <w:left w:val="single" w:sz="6" w:color="B91C1C"/>
              <w:bottom w:val="single" w:sz="6" w:color="B91C1C"/>
              <w:right w:val="single" w:sz="6" w:color="B91C1C"/>
            </w:tcBorders>
            <w:vAlign w:val="center"/>
          </w:tcPr>
          <w:p>
            <w:pPr>
              <w:spacing w:before="0" w:after="20" w:line="240" w:lineRule="auto"/>
            </w:pPr>
            <w:r>
              <w:rPr>
                <w:rFonts w:ascii="Noto Sans CJK SC" w:hAnsi="Noto Sans CJK SC" w:eastAsia="Noto Sans CJK SC" w:cs="Noto Sans CJK SC"/>
                <w:b w:val="0"/>
                <w:color w:val="1F2937"/>
                <w:sz w:val="14"/>
              </w:rPr>
              <w:t>Gate 2 治理原则：Gate 2 不能只依据“是否看懂原型”。必须综合概念理解与最小解决方案验证结果；若出现关键 P0 状态判断错误、关键结论缺乏证据支持，或 Gate 1 要求的决策价值验证未完成，则不得判定为完整 PASS。具体 PASS / CONDITIONAL PASS / FAIL 门槛在 Concept Test Protocol / Gate 2 Decision Rule 中冻结。</w:t>
            </w:r>
          </w:p>
        </w:tc>
      </w:tr>
    </w:tbl>
    <w:p>
      <w:pPr>
        <w:spacing w:before="100" w:after="40" w:line="240" w:lineRule="auto"/>
        <w:pBdr>
          <w:bottom w:val="single" w:sz="6" w:space="1" w:color="D9E6F2"/>
        </w:pBdr>
      </w:pPr>
      <w:r>
        <w:rPr>
          <w:rFonts w:ascii="Noto Sans CJK SC" w:hAnsi="Noto Sans CJK SC" w:eastAsia="Noto Sans CJK SC" w:cs="Noto Sans CJK SC"/>
          <w:b/>
          <w:color w:val="1F4E79"/>
          <w:sz w:val="20"/>
        </w:rPr>
        <w:t>5. Sprint 2 明确不再做的事项</w:t>
      </w:r>
    </w:p>
    <w:p>
      <w:pPr>
        <w:spacing w:before="0" w:after="40" w:line="240" w:lineRule="auto"/>
        <w:ind w:left="216" w:hanging="144"/>
      </w:pPr>
      <w:r>
        <w:rPr>
          <w:rFonts w:ascii="Noto Sans CJK SC" w:hAnsi="Noto Sans CJK SC" w:eastAsia="Noto Sans CJK SC" w:cs="Noto Sans CJK SC"/>
          <w:b/>
          <w:color w:val="1F2937"/>
          <w:sz w:val="15"/>
        </w:rPr>
        <w:t xml:space="preserve">• </w:t>
      </w:r>
      <w:r>
        <w:rPr>
          <w:rFonts w:ascii="Noto Sans CJK SC" w:hAnsi="Noto Sans CJK SC" w:eastAsia="Noto Sans CJK SC" w:cs="Noto Sans CJK SC"/>
          <w:b w:val="0"/>
          <w:color w:val="1F2937"/>
          <w:sz w:val="15"/>
        </w:rPr>
        <w:t>不重新扩问卷、不重做开放文本编码/公开案例分类、不重算 H5、不重排痛点或重定义 Problem Definition。</w:t>
      </w:r>
    </w:p>
    <w:p>
      <w:pPr>
        <w:spacing w:before="0" w:after="40" w:line="240" w:lineRule="auto"/>
        <w:ind w:left="216" w:hanging="144"/>
      </w:pPr>
      <w:r>
        <w:rPr>
          <w:rFonts w:ascii="Noto Sans CJK SC" w:hAnsi="Noto Sans CJK SC" w:eastAsia="Noto Sans CJK SC" w:cs="Noto Sans CJK SC"/>
          <w:b/>
          <w:color w:val="1F2937"/>
          <w:sz w:val="15"/>
        </w:rPr>
        <w:t xml:space="preserve">• </w:t>
      </w:r>
      <w:r>
        <w:rPr>
          <w:rFonts w:ascii="Noto Sans CJK SC" w:hAnsi="Noto Sans CJK SC" w:eastAsia="Noto Sans CJK SC" w:cs="Noto Sans CJK SC"/>
          <w:b w:val="0"/>
          <w:color w:val="1F2937"/>
          <w:sz w:val="15"/>
        </w:rPr>
        <w:t>不做传统竞品功能矩阵、SWOT、融资/市场份额研究；Baseline 只用于同题断点研究。</w:t>
      </w:r>
    </w:p>
    <w:p>
      <w:pPr>
        <w:spacing w:before="0" w:after="40" w:line="240" w:lineRule="auto"/>
        <w:ind w:left="216" w:hanging="144"/>
      </w:pPr>
      <w:r>
        <w:rPr>
          <w:rFonts w:ascii="Noto Sans CJK SC" w:hAnsi="Noto Sans CJK SC" w:eastAsia="Noto Sans CJK SC" w:cs="Noto Sans CJK SC"/>
          <w:b/>
          <w:color w:val="1F2937"/>
          <w:sz w:val="15"/>
        </w:rPr>
        <w:t xml:space="preserve">• </w:t>
      </w:r>
      <w:r>
        <w:rPr>
          <w:rFonts w:ascii="Noto Sans CJK SC" w:hAnsi="Noto Sans CJK SC" w:eastAsia="Noto Sans CJK SC" w:cs="Noto Sans CJK SC"/>
          <w:b w:val="0"/>
          <w:color w:val="1F2937"/>
          <w:sz w:val="15"/>
        </w:rPr>
        <w:t>不在看到 Baseline 结果后修改对象、Input Pack、Same-task Prompt、Rubric、计时/追问/搜索/失败规则，也不为单一对象补独享材料。</w:t>
      </w:r>
    </w:p>
    <w:p>
      <w:pPr>
        <w:spacing w:before="0" w:after="40" w:line="240" w:lineRule="auto"/>
        <w:ind w:left="216" w:hanging="144"/>
      </w:pPr>
      <w:r>
        <w:rPr>
          <w:rFonts w:ascii="Noto Sans CJK SC" w:hAnsi="Noto Sans CJK SC" w:eastAsia="Noto Sans CJK SC" w:cs="Noto Sans CJK SC"/>
          <w:b/>
          <w:color w:val="1F2937"/>
          <w:sz w:val="15"/>
        </w:rPr>
        <w:t xml:space="preserve">• </w:t>
      </w:r>
      <w:r>
        <w:rPr>
          <w:rFonts w:ascii="Noto Sans CJK SC" w:hAnsi="Noto Sans CJK SC" w:eastAsia="Noto Sans CJK SC" w:cs="Noto Sans CJK SC"/>
          <w:b w:val="0"/>
          <w:color w:val="1F2937"/>
          <w:sz w:val="15"/>
        </w:rPr>
        <w:t>不扩展首版 P0，不新增第四类 P0 诊断；三类诊断仅保留为 P1 辅助路径。</w:t>
      </w:r>
    </w:p>
    <w:p>
      <w:pPr>
        <w:spacing w:before="0" w:after="40" w:line="240" w:lineRule="auto"/>
        <w:ind w:left="216" w:hanging="144"/>
      </w:pPr>
      <w:r>
        <w:rPr>
          <w:rFonts w:ascii="Noto Sans CJK SC" w:hAnsi="Noto Sans CJK SC" w:eastAsia="Noto Sans CJK SC" w:cs="Noto Sans CJK SC"/>
          <w:b/>
          <w:color w:val="1F2937"/>
          <w:sz w:val="15"/>
        </w:rPr>
        <w:t xml:space="preserve">• </w:t>
      </w:r>
      <w:r>
        <w:rPr>
          <w:rFonts w:ascii="Noto Sans CJK SC" w:hAnsi="Noto Sans CJK SC" w:eastAsia="Noto Sans CJK SC" w:cs="Noto Sans CJK SC"/>
          <w:b w:val="0"/>
          <w:color w:val="1F2937"/>
          <w:sz w:val="15"/>
        </w:rPr>
        <w:t>不把概念测试或最小验证写成 H2/H3 正式通过，不输出“优于通用大模型”“效率提升 xx%”等未经正式实验支持的效果结论。</w:t>
      </w:r>
    </w:p>
    <w:tbl>
      <w:tblPr>
        <w:tblW w:type="dxa" w:w="9950"/>
        <w:jc w:val="center"/>
        <w:tblLayout w:type="autofit"/>
        <w:tblLook w:firstColumn="1" w:firstRow="1" w:lastColumn="0" w:lastRow="0" w:noHBand="0" w:noVBand="1" w:val="04A0"/>
        <w:tblBorders>
          <w:top w:val="single" w:sz="4" w:space="0" w:color="CAD7E2"/>
          <w:left w:val="single" w:sz="4" w:space="0" w:color="CAD7E2"/>
          <w:bottom w:val="single" w:sz="4" w:space="0" w:color="CAD7E2"/>
          <w:right w:val="single" w:sz="4" w:space="0" w:color="CAD7E2"/>
          <w:insideH w:val="single" w:sz="4" w:space="0" w:color="CAD7E2"/>
          <w:insideV w:val="single" w:sz="4" w:space="0" w:color="CAD7E2"/>
        </w:tblBorders>
      </w:tblPr>
      <w:tblGrid>
        <w:gridCol w:w="9950"/>
      </w:tblGrid>
      <w:tr>
        <w:trPr>
          <w:cantSplit w:val="1"/>
        </w:trPr>
        <w:tc>
          <w:tcPr>
            <w:tcW w:type="dxa" w:w="9950"/>
            <w:shd w:fill="E8F5E9"/>
            <w:tcMar>
              <w:top w:w="120" w:type="dxa"/>
              <w:start w:w="100" w:type="dxa"/>
              <w:bottom w:w="120" w:type="dxa"/>
              <w:end w:w="100" w:type="dxa"/>
              <w:left w:w="120" w:type="dxa"/>
              <w:right w:w="120" w:type="dxa"/>
            </w:tcMar>
            <w:tcBorders>
              <w:top w:val="single" w:sz="6" w:color="2E7D32"/>
              <w:left w:val="single" w:sz="6" w:color="2E7D32"/>
              <w:bottom w:val="single" w:sz="6" w:color="2E7D32"/>
              <w:right w:val="single" w:sz="6" w:color="2E7D32"/>
            </w:tcBorders>
            <w:vAlign w:val="center"/>
          </w:tcPr>
          <w:p>
            <w:pPr>
              <w:spacing w:before="0" w:after="20" w:line="240" w:lineRule="auto"/>
            </w:pPr>
            <w:r>
              <w:rPr>
                <w:rFonts w:ascii="Noto Sans CJK SC" w:hAnsi="Noto Sans CJK SC" w:eastAsia="Noto Sans CJK SC" w:cs="Noto Sans CJK SC"/>
                <w:b w:val="0"/>
                <w:color w:val="1F2937"/>
                <w:sz w:val="14"/>
              </w:rPr>
              <w:t>后续协议治理要求：判断质量审计的 Reference Judgment 必须基于冻结 Input Pack 的原始证据独立形成，不得从待审计的 ResearchOps 输出反推；具体核验方法、争议项复核与记录字段在后续 Protocol / Preregistration 中冻结。</w:t>
            </w:r>
          </w:p>
        </w:tc>
      </w:tr>
    </w:tbl>
    <w:sectPr w:rsidR="00FC693F" w:rsidRPr="0006063C" w:rsidSect="00034616">
      <w:footerReference w:type="default" r:id="rId9"/>
      <w:headerReference w:type="default" r:id="rId10"/>
      <w:pgSz w:w="11909" w:h="16834"/>
      <w:pgMar w:top="490" w:right="792" w:bottom="490" w:left="792" w:header="317" w:footer="31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jc w:val="center"/>
    </w:pPr>
    <w:r>
      <w:rPr>
        <w:rFonts w:ascii="Noto Sans CJK SC" w:hAnsi="Noto Sans CJK SC" w:eastAsia="Noto Sans CJK SC" w:cs="Noto Sans CJK SC"/>
        <w:b w:val="0"/>
        <w:color w:val="6B7280"/>
        <w:sz w:val="14"/>
      </w:rPr>
      <w:t>ResearchOps · Sprint 2 Start Brief · V1.0 · FREEZE / PASS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40" w:lineRule="auto"/>
      <w:jc w:val="right"/>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Next w:val="0"/>
      <w:keepLines w:val="0"/>
      <w:pageBreakBefore w:val="0"/>
      <w:spacing w:before="0" w:after="40" w:line="240" w:lineRule="auto"/>
    </w:pPr>
    <w:rPr>
      <w:rFonts w:ascii="Noto Sans CJK SC" w:hAnsi="Noto Sans CJK SC" w:eastAsia="Noto Sans CJK SC" w:cs="Noto Sans CJK SC"/>
      <w:b w:val="0"/>
      <w:color w:val="1F2937"/>
      <w:sz w:val="15"/>
    </w:rPr>
  </w:style>
  <w:style w:type="paragraph" w:styleId="Header">
    <w:name w:val="header"/>
    <w:basedOn w:val="Normal"/>
    <w:link w:val="HeaderChar"/>
    <w:uiPriority w:val="99"/>
    <w:unhideWhenUsed/>
    <w:rsid w:val="00E618BF"/>
    <w:pPr>
      <w:keepNext w:val="0"/>
      <w:keepLines w:val="0"/>
      <w:pageBreakBefore w:val="0"/>
      <w:tabs>
        <w:tab w:val="center" w:pos="4680"/>
        <w:tab w:val="right" w:pos="9360"/>
      </w:tabs>
      <w:spacing w:after="40" w:line="240" w:lineRule="auto" w:before="0"/>
    </w:pPr>
    <w:rPr>
      <w:rFonts w:ascii="Noto Sans CJK SC" w:hAnsi="Noto Sans CJK SC" w:eastAsia="Noto Sans CJK SC" w:cs="Noto Sans CJK SC"/>
      <w:b w:val="0"/>
      <w:color w:val="6B7280"/>
      <w:sz w:val="14"/>
    </w:rPr>
  </w:style>
  <w:style w:type="character" w:customStyle="1" w:styleId="HeaderChar">
    <w:name w:val="Header Char"/>
    <w:basedOn w:val="DefaultParagraphFont"/>
    <w:link w:val="Header"/>
    <w:uiPriority w:val="99"/>
    <w:rsid w:val="00E618BF"/>
    <w:rPr>
      <w:rFonts w:ascii="Noto Sans CJK SC" w:hAnsi="Noto Sans CJK SC" w:eastAsia="Noto Sans CJK SC" w:cs="Noto Sans CJK SC"/>
    </w:rPr>
  </w:style>
  <w:style w:type="paragraph" w:styleId="Footer">
    <w:name w:val="footer"/>
    <w:basedOn w:val="Normal"/>
    <w:link w:val="FooterChar"/>
    <w:uiPriority w:val="99"/>
    <w:unhideWhenUsed/>
    <w:rsid w:val="00E618BF"/>
    <w:pPr>
      <w:keepNext w:val="0"/>
      <w:keepLines w:val="0"/>
      <w:pageBreakBefore w:val="0"/>
      <w:tabs>
        <w:tab w:val="center" w:pos="4680"/>
        <w:tab w:val="right" w:pos="9360"/>
      </w:tabs>
      <w:spacing w:after="40" w:line="240" w:lineRule="auto" w:before="0"/>
    </w:pPr>
    <w:rPr>
      <w:rFonts w:ascii="Noto Sans CJK SC" w:hAnsi="Noto Sans CJK SC" w:eastAsia="Noto Sans CJK SC" w:cs="Noto Sans CJK SC"/>
      <w:b w:val="0"/>
      <w:color w:val="6B7280"/>
      <w:sz w:val="14"/>
    </w:rPr>
  </w:style>
  <w:style w:type="character" w:customStyle="1" w:styleId="FooterChar">
    <w:name w:val="Footer Char"/>
    <w:basedOn w:val="DefaultParagraphFont"/>
    <w:link w:val="Footer"/>
    <w:uiPriority w:val="99"/>
    <w:rsid w:val="00E618BF"/>
    <w:rPr>
      <w:rFonts w:ascii="Noto Sans CJK SC" w:hAnsi="Noto Sans CJK SC" w:eastAsia="Noto Sans CJK SC" w:cs="Noto Sans CJK SC"/>
    </w:rPr>
  </w:style>
  <w:style w:type="paragraph" w:styleId="Heading1">
    <w:name w:val="heading 1"/>
    <w:basedOn w:val="Normal"/>
    <w:next w:val="Normal"/>
    <w:link w:val="Heading1Char"/>
    <w:uiPriority w:val="9"/>
    <w:qFormat/>
    <w:rsid w:val="00FC693F"/>
    <w:pPr>
      <w:keepNext w:val="0"/>
      <w:keepLines w:val="0"/>
      <w:pageBreakBefore w:val="0"/>
      <w:spacing w:before="280" w:after="160" w:line="240" w:lineRule="auto"/>
      <w:outlineLvl w:val="0"/>
    </w:pPr>
    <w:rPr>
      <w:rFonts w:asciiTheme="majorHAnsi" w:eastAsiaTheme="majorEastAsia" w:hAnsiTheme="majorHAnsi" w:cstheme="majorBidi" w:ascii="Noto Sans CJK SC" w:hAnsi="Noto Sans CJK SC" w:eastAsia="Noto Sans CJK SC" w:cs="Noto Sans CJK SC"/>
      <w:b/>
      <w:bCs/>
      <w:color w:val="163A5F"/>
      <w:sz w:val="36"/>
      <w:szCs w:val="28"/>
    </w:rPr>
  </w:style>
  <w:style w:type="paragraph" w:styleId="Heading2">
    <w:name w:val="heading 2"/>
    <w:basedOn w:val="Normal"/>
    <w:next w:val="Normal"/>
    <w:link w:val="Heading2Char"/>
    <w:uiPriority w:val="9"/>
    <w:unhideWhenUsed/>
    <w:qFormat/>
    <w:rsid w:val="00FC693F"/>
    <w:pPr>
      <w:keepNext w:val="0"/>
      <w:keepLines w:val="0"/>
      <w:pageBreakBefore w:val="0"/>
      <w:spacing w:before="200" w:after="100" w:line="240" w:lineRule="auto"/>
      <w:outlineLvl w:val="1"/>
    </w:pPr>
    <w:rPr>
      <w:rFonts w:asciiTheme="majorHAnsi" w:eastAsiaTheme="majorEastAsia" w:hAnsiTheme="majorHAnsi" w:cstheme="majorBidi" w:ascii="Noto Sans CJK SC" w:hAnsi="Noto Sans CJK SC" w:eastAsia="Noto Sans CJK SC" w:cs="Noto Sans CJK SC"/>
      <w:b/>
      <w:bCs/>
      <w:color w:val="2F6B9A"/>
      <w:sz w:val="26"/>
      <w:szCs w:val="26"/>
    </w:rPr>
  </w:style>
  <w:style w:type="paragraph" w:styleId="Heading3">
    <w:name w:val="heading 3"/>
    <w:basedOn w:val="Normal"/>
    <w:next w:val="Normal"/>
    <w:link w:val="Heading3Char"/>
    <w:uiPriority w:val="9"/>
    <w:unhideWhenUsed/>
    <w:qFormat/>
    <w:rsid w:val="00FC693F"/>
    <w:pPr>
      <w:keepNext w:val="0"/>
      <w:keepLines w:val="0"/>
      <w:pageBreakBefore w:val="0"/>
      <w:spacing w:before="160" w:after="80" w:line="252" w:lineRule="auto"/>
      <w:outlineLvl w:val="2"/>
    </w:pPr>
    <w:rPr>
      <w:rFonts w:asciiTheme="majorHAnsi" w:eastAsiaTheme="majorEastAsia" w:hAnsiTheme="majorHAnsi" w:cstheme="majorBidi" w:ascii="Noto Sans CJK SC" w:hAnsi="Noto Sans CJK SC" w:eastAsia="Noto Sans CJK SC" w:cs="Noto Sans CJK SC"/>
      <w:b/>
      <w:bCs/>
      <w:color w:val="2F6B9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Noto Sans CJK SC" w:hAnsi="Noto Sans CJK SC" w:eastAsia="Noto Sans CJK SC" w:cs="Noto Sans CJK SC"/>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Noto Sans CJK SC" w:hAnsi="Noto Sans CJK SC" w:eastAsia="Noto Sans CJK SC" w:cs="Noto Sans CJK SC"/>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Noto Sans CJK SC" w:hAnsi="Noto Sans CJK SC" w:eastAsia="Noto Sans CJK SC" w:cs="Noto Sans CJK SC"/>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Noto Sans CJK SC" w:hAnsi="Noto Sans CJK SC" w:eastAsia="Noto Sans CJK SC" w:cs="Noto Sans CJK SC"/>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Noto Sans CJK SC" w:hAnsi="Noto Sans CJK SC" w:eastAsia="Noto Sans CJK SC" w:cs="Noto Sans CJK SC"/>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Noto Sans CJK SC" w:hAnsi="Noto Sans CJK SC" w:eastAsia="Noto Sans CJK SC" w:cs="Noto Sans CJK SC"/>
      <w:i/>
      <w:iCs/>
      <w:color w:val="404040" w:themeColor="text1" w:themeTint="BF"/>
      <w:sz w:val="20"/>
      <w:szCs w:val="20"/>
    </w:rPr>
  </w:style>
  <w:style w:type="character" w:default="1" w:styleId="DefaultParagraphFont">
    <w:name w:val="Default Paragraph Font"/>
    <w:uiPriority w:val="1"/>
    <w:semiHidden/>
    <w:unhideWhenUsed/>
    <w:rPr>
      <w:rFonts w:ascii="Noto Sans CJK SC" w:hAnsi="Noto Sans CJK SC" w:eastAsia="Noto Sans CJK SC" w:cs="Noto Sans CJK SC"/>
    </w:rPr>
  </w:style>
  <w:style w:type="table" w:default="1" w:styleId="TableNormal">
    <w:name w:val="Normal Table"/>
    <w:uiPriority w:val="99"/>
    <w:semiHidden/>
    <w:unhideWhenUsed/>
    <w:rPr>
      <w:rFonts w:ascii="Noto Sans CJK SC" w:hAnsi="Noto Sans CJK SC" w:eastAsia="Noto Sans CJK SC" w:cs="Noto Sans CJK SC"/>
    </w:rPr>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Noto Sans CJK SC" w:hAnsi="Noto Sans CJK SC" w:eastAsia="Noto Sans CJK SC" w:cs="Noto Sans CJK SC"/>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Noto Sans CJK SC" w:hAnsi="Noto Sans CJK SC" w:eastAsia="Noto Sans CJK SC" w:cs="Noto Sans CJK SC"/>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Noto Sans CJK SC" w:hAnsi="Noto Sans CJK SC" w:eastAsia="Noto Sans CJK SC" w:cs="Noto Sans CJK SC"/>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Noto Sans CJK SC" w:hAnsi="Noto Sans CJK SC" w:eastAsia="Noto Sans CJK SC" w:cs="Noto Sans CJK SC"/>
      <w:b/>
      <w:bCs/>
      <w:color w:val="4F81BD" w:themeColor="accent1"/>
    </w:rPr>
  </w:style>
  <w:style w:type="paragraph" w:styleId="Title">
    <w:name w:val="Title"/>
    <w:basedOn w:val="Normal"/>
    <w:next w:val="Normal"/>
    <w:link w:val="TitleChar"/>
    <w:uiPriority w:val="10"/>
    <w:qFormat/>
    <w:rsid w:val="00FC693F"/>
    <w:pPr>
      <w:keepNext w:val="0"/>
      <w:keepLines w:val="0"/>
      <w:pageBreakBefore w:val="0"/>
      <w:pBdr>
        <w:bottom w:val="single" w:sz="8" w:space="4" w:color="4F81BD" w:themeColor="accent1"/>
      </w:pBdr>
      <w:spacing w:after="200" w:line="240" w:lineRule="auto" w:before="0"/>
      <w:contextualSpacing/>
    </w:pPr>
    <w:rPr>
      <w:rFonts w:asciiTheme="majorHAnsi" w:eastAsiaTheme="majorEastAsia" w:hAnsiTheme="majorHAnsi" w:cstheme="majorBidi" w:ascii="Noto Sans CJK SC" w:hAnsi="Noto Sans CJK SC" w:eastAsia="Noto Sans CJK SC" w:cs="Noto Sans CJK SC"/>
      <w:b/>
      <w:color w:val="163A5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Noto Sans CJK SC" w:hAnsi="Noto Sans CJK SC" w:eastAsia="Noto Sans CJK SC" w:cs="Noto Sans CJK SC"/>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Noto Sans CJK SC" w:hAnsi="Noto Sans CJK SC" w:eastAsia="Noto Sans CJK SC" w:cs="Noto Sans CJK SC"/>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Noto Sans CJK SC" w:hAnsi="Noto Sans CJK SC" w:eastAsia="Noto Sans CJK SC" w:cs="Noto Sans CJK SC"/>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Noto Sans CJK SC" w:hAnsi="Noto Sans CJK SC" w:eastAsia="Noto Sans CJK SC" w:cs="Noto Sans CJK SC"/>
    </w:rPr>
  </w:style>
  <w:style w:type="paragraph" w:styleId="BodyText">
    <w:name w:val="Body Text"/>
    <w:basedOn w:val="Normal"/>
    <w:link w:val="BodyTextChar"/>
    <w:uiPriority w:val="99"/>
    <w:unhideWhenUsed/>
    <w:rsid w:val="00AA1D8D"/>
    <w:pPr>
      <w:spacing w:after="120"/>
    </w:pPr>
    <w:rPr>
      <w:rFonts w:ascii="Noto Sans CJK SC" w:hAnsi="Noto Sans CJK SC" w:eastAsia="Noto Sans CJK SC" w:cs="Noto Sans CJK SC"/>
    </w:rPr>
  </w:style>
  <w:style w:type="character" w:customStyle="1" w:styleId="BodyTextChar">
    <w:name w:val="Body Text Char"/>
    <w:basedOn w:val="DefaultParagraphFont"/>
    <w:link w:val="BodyText"/>
    <w:uiPriority w:val="99"/>
    <w:rsid w:val="00AA1D8D"/>
    <w:rPr>
      <w:rFonts w:ascii="Noto Sans CJK SC" w:hAnsi="Noto Sans CJK SC" w:eastAsia="Noto Sans CJK SC" w:cs="Noto Sans CJK SC"/>
    </w:rPr>
  </w:style>
  <w:style w:type="paragraph" w:styleId="BodyText2">
    <w:name w:val="Body Text 2"/>
    <w:basedOn w:val="Normal"/>
    <w:link w:val="BodyText2Char"/>
    <w:uiPriority w:val="99"/>
    <w:unhideWhenUsed/>
    <w:rsid w:val="00AA1D8D"/>
    <w:pPr>
      <w:spacing w:after="120" w:line="480" w:lineRule="auto"/>
    </w:pPr>
    <w:rPr>
      <w:rFonts w:ascii="Noto Sans CJK SC" w:hAnsi="Noto Sans CJK SC" w:eastAsia="Noto Sans CJK SC" w:cs="Noto Sans CJK SC"/>
    </w:rPr>
  </w:style>
  <w:style w:type="character" w:customStyle="1" w:styleId="BodyText2Char">
    <w:name w:val="Body Text 2 Char"/>
    <w:basedOn w:val="DefaultParagraphFont"/>
    <w:link w:val="BodyText2"/>
    <w:uiPriority w:val="99"/>
    <w:rsid w:val="00AA1D8D"/>
    <w:rPr>
      <w:rFonts w:ascii="Noto Sans CJK SC" w:hAnsi="Noto Sans CJK SC" w:eastAsia="Noto Sans CJK SC" w:cs="Noto Sans CJK SC"/>
    </w:rPr>
  </w:style>
  <w:style w:type="paragraph" w:styleId="BodyText3">
    <w:name w:val="Body Text 3"/>
    <w:basedOn w:val="Normal"/>
    <w:link w:val="BodyText3Char"/>
    <w:uiPriority w:val="99"/>
    <w:unhideWhenUsed/>
    <w:rsid w:val="00AA1D8D"/>
    <w:pPr>
      <w:spacing w:after="120"/>
    </w:pPr>
    <w:rPr>
      <w:rFonts w:ascii="Noto Sans CJK SC" w:hAnsi="Noto Sans CJK SC" w:eastAsia="Noto Sans CJK SC" w:cs="Noto Sans CJK SC"/>
      <w:sz w:val="16"/>
      <w:szCs w:val="16"/>
    </w:rPr>
  </w:style>
  <w:style w:type="character" w:customStyle="1" w:styleId="BodyText3Char">
    <w:name w:val="Body Text 3 Char"/>
    <w:basedOn w:val="DefaultParagraphFont"/>
    <w:link w:val="BodyText3"/>
    <w:uiPriority w:val="99"/>
    <w:rsid w:val="00AA1D8D"/>
    <w:rPr>
      <w:rFonts w:ascii="Noto Sans CJK SC" w:hAnsi="Noto Sans CJK SC" w:eastAsia="Noto Sans CJK SC" w:cs="Noto Sans CJK SC"/>
      <w:sz w:val="16"/>
      <w:szCs w:val="16"/>
    </w:rPr>
  </w:style>
  <w:style w:type="paragraph" w:styleId="List">
    <w:name w:val="List"/>
    <w:basedOn w:val="Normal"/>
    <w:uiPriority w:val="99"/>
    <w:unhideWhenUsed/>
    <w:rsid w:val="00AA1D8D"/>
    <w:pPr>
      <w:ind w:left="360" w:hanging="360"/>
      <w:contextualSpacing/>
    </w:pPr>
    <w:rPr>
      <w:rFonts w:ascii="Noto Sans CJK SC" w:hAnsi="Noto Sans CJK SC" w:eastAsia="Noto Sans CJK SC" w:cs="Noto Sans CJK SC"/>
    </w:rPr>
  </w:style>
  <w:style w:type="paragraph" w:styleId="List2">
    <w:name w:val="List 2"/>
    <w:basedOn w:val="Normal"/>
    <w:uiPriority w:val="99"/>
    <w:unhideWhenUsed/>
    <w:rsid w:val="00326F90"/>
    <w:pPr>
      <w:ind w:left="720" w:hanging="360"/>
      <w:contextualSpacing/>
    </w:pPr>
    <w:rPr>
      <w:rFonts w:ascii="Noto Sans CJK SC" w:hAnsi="Noto Sans CJK SC" w:eastAsia="Noto Sans CJK SC" w:cs="Noto Sans CJK SC"/>
    </w:rPr>
  </w:style>
  <w:style w:type="paragraph" w:styleId="List3">
    <w:name w:val="List 3"/>
    <w:basedOn w:val="Normal"/>
    <w:uiPriority w:val="99"/>
    <w:unhideWhenUsed/>
    <w:rsid w:val="00326F90"/>
    <w:pPr>
      <w:ind w:left="1080" w:hanging="360"/>
      <w:contextualSpacing/>
    </w:pPr>
    <w:rPr>
      <w:rFonts w:ascii="Noto Sans CJK SC" w:hAnsi="Noto Sans CJK SC" w:eastAsia="Noto Sans CJK SC" w:cs="Noto Sans CJK SC"/>
    </w:rPr>
  </w:style>
  <w:style w:type="paragraph" w:styleId="ListBullet">
    <w:name w:val="List Bullet"/>
    <w:basedOn w:val="Normal"/>
    <w:uiPriority w:val="99"/>
    <w:unhideWhenUsed/>
    <w:rsid w:val="00326F90"/>
    <w:pPr>
      <w:numPr>
        <w:numId w:val="1"/>
      </w:numPr>
      <w:contextualSpacing/>
    </w:pPr>
    <w:rPr>
      <w:rFonts w:ascii="Noto Sans CJK SC" w:hAnsi="Noto Sans CJK SC" w:eastAsia="Noto Sans CJK SC" w:cs="Noto Sans CJK SC"/>
    </w:rPr>
  </w:style>
  <w:style w:type="paragraph" w:styleId="ListBullet2">
    <w:name w:val="List Bullet 2"/>
    <w:basedOn w:val="Normal"/>
    <w:uiPriority w:val="99"/>
    <w:unhideWhenUsed/>
    <w:rsid w:val="00326F90"/>
    <w:pPr>
      <w:numPr>
        <w:numId w:val="2"/>
      </w:numPr>
      <w:contextualSpacing/>
    </w:pPr>
    <w:rPr>
      <w:rFonts w:ascii="Noto Sans CJK SC" w:hAnsi="Noto Sans CJK SC" w:eastAsia="Noto Sans CJK SC" w:cs="Noto Sans CJK SC"/>
    </w:rPr>
  </w:style>
  <w:style w:type="paragraph" w:styleId="ListBullet3">
    <w:name w:val="List Bullet 3"/>
    <w:basedOn w:val="Normal"/>
    <w:uiPriority w:val="99"/>
    <w:unhideWhenUsed/>
    <w:rsid w:val="00326F90"/>
    <w:pPr>
      <w:numPr>
        <w:numId w:val="3"/>
      </w:numPr>
      <w:contextualSpacing/>
    </w:pPr>
    <w:rPr>
      <w:rFonts w:ascii="Noto Sans CJK SC" w:hAnsi="Noto Sans CJK SC" w:eastAsia="Noto Sans CJK SC" w:cs="Noto Sans CJK SC"/>
    </w:rPr>
  </w:style>
  <w:style w:type="paragraph" w:styleId="ListNumber">
    <w:name w:val="List Number"/>
    <w:basedOn w:val="Normal"/>
    <w:uiPriority w:val="99"/>
    <w:unhideWhenUsed/>
    <w:rsid w:val="00326F90"/>
    <w:pPr>
      <w:numPr>
        <w:numId w:val="5"/>
      </w:numPr>
      <w:contextualSpacing/>
    </w:pPr>
    <w:rPr>
      <w:rFonts w:ascii="Noto Sans CJK SC" w:hAnsi="Noto Sans CJK SC" w:eastAsia="Noto Sans CJK SC" w:cs="Noto Sans CJK SC"/>
    </w:rPr>
  </w:style>
  <w:style w:type="paragraph" w:styleId="ListNumber2">
    <w:name w:val="List Number 2"/>
    <w:basedOn w:val="Normal"/>
    <w:uiPriority w:val="99"/>
    <w:unhideWhenUsed/>
    <w:rsid w:val="0029639D"/>
    <w:pPr>
      <w:numPr>
        <w:numId w:val="6"/>
      </w:numPr>
      <w:contextualSpacing/>
    </w:pPr>
    <w:rPr>
      <w:rFonts w:ascii="Noto Sans CJK SC" w:hAnsi="Noto Sans CJK SC" w:eastAsia="Noto Sans CJK SC" w:cs="Noto Sans CJK SC"/>
    </w:rPr>
  </w:style>
  <w:style w:type="paragraph" w:styleId="ListNumber3">
    <w:name w:val="List Number 3"/>
    <w:basedOn w:val="Normal"/>
    <w:uiPriority w:val="99"/>
    <w:unhideWhenUsed/>
    <w:rsid w:val="0029639D"/>
    <w:pPr>
      <w:numPr>
        <w:numId w:val="7"/>
      </w:numPr>
      <w:contextualSpacing/>
    </w:pPr>
    <w:rPr>
      <w:rFonts w:ascii="Noto Sans CJK SC" w:hAnsi="Noto Sans CJK SC" w:eastAsia="Noto Sans CJK SC" w:cs="Noto Sans CJK SC"/>
    </w:rPr>
  </w:style>
  <w:style w:type="paragraph" w:styleId="ListContinue">
    <w:name w:val="List Continue"/>
    <w:basedOn w:val="Normal"/>
    <w:uiPriority w:val="99"/>
    <w:unhideWhenUsed/>
    <w:rsid w:val="0029639D"/>
    <w:pPr>
      <w:spacing w:after="120"/>
      <w:ind w:left="360"/>
      <w:contextualSpacing/>
    </w:pPr>
    <w:rPr>
      <w:rFonts w:ascii="Noto Sans CJK SC" w:hAnsi="Noto Sans CJK SC" w:eastAsia="Noto Sans CJK SC" w:cs="Noto Sans CJK SC"/>
    </w:rPr>
  </w:style>
  <w:style w:type="paragraph" w:styleId="ListContinue2">
    <w:name w:val="List Continue 2"/>
    <w:basedOn w:val="Normal"/>
    <w:uiPriority w:val="99"/>
    <w:unhideWhenUsed/>
    <w:rsid w:val="0029639D"/>
    <w:pPr>
      <w:spacing w:after="120"/>
      <w:ind w:left="720"/>
      <w:contextualSpacing/>
    </w:pPr>
    <w:rPr>
      <w:rFonts w:ascii="Noto Sans CJK SC" w:hAnsi="Noto Sans CJK SC" w:eastAsia="Noto Sans CJK SC" w:cs="Noto Sans CJK SC"/>
    </w:rPr>
  </w:style>
  <w:style w:type="paragraph" w:styleId="ListContinue3">
    <w:name w:val="List Continue 3"/>
    <w:basedOn w:val="Normal"/>
    <w:uiPriority w:val="99"/>
    <w:unhideWhenUsed/>
    <w:rsid w:val="0029639D"/>
    <w:pPr>
      <w:spacing w:after="120"/>
      <w:ind w:left="1080"/>
      <w:contextualSpacing/>
    </w:pPr>
    <w:rPr>
      <w:rFonts w:ascii="Noto Sans CJK SC" w:hAnsi="Noto Sans CJK SC" w:eastAsia="Noto Sans CJK SC" w:cs="Noto Sans CJK SC"/>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Noto Sans CJK SC" w:hAnsi="Noto Sans CJK SC" w:eastAsia="Noto Sans CJK SC" w:cs="Noto Sans CJK SC"/>
      <w:sz w:val="20"/>
      <w:szCs w:val="20"/>
    </w:rPr>
  </w:style>
  <w:style w:type="character" w:customStyle="1" w:styleId="MacroTextChar">
    <w:name w:val="Macro Text Char"/>
    <w:basedOn w:val="DefaultParagraphFont"/>
    <w:link w:val="MacroText"/>
    <w:uiPriority w:val="99"/>
    <w:rsid w:val="0029639D"/>
    <w:rPr>
      <w:rFonts w:ascii="Noto Sans CJK SC" w:hAnsi="Noto Sans CJK SC" w:eastAsia="Noto Sans CJK SC" w:cs="Noto Sans CJK SC"/>
      <w:sz w:val="20"/>
      <w:szCs w:val="20"/>
    </w:rPr>
  </w:style>
  <w:style w:type="paragraph" w:styleId="Quote">
    <w:name w:val="Quote"/>
    <w:basedOn w:val="Normal"/>
    <w:next w:val="Normal"/>
    <w:link w:val="QuoteChar"/>
    <w:uiPriority w:val="29"/>
    <w:qFormat/>
    <w:rsid w:val="00FC693F"/>
    <w:rPr>
      <w:rFonts w:ascii="Noto Sans CJK SC" w:hAnsi="Noto Sans CJK SC" w:eastAsia="Noto Sans CJK SC" w:cs="Noto Sans CJK SC"/>
      <w:i/>
      <w:iCs/>
      <w:color w:val="000000" w:themeColor="text1"/>
    </w:rPr>
  </w:style>
  <w:style w:type="character" w:customStyle="1" w:styleId="QuoteChar">
    <w:name w:val="Quote Char"/>
    <w:basedOn w:val="DefaultParagraphFont"/>
    <w:link w:val="Quote"/>
    <w:uiPriority w:val="29"/>
    <w:rsid w:val="00FC693F"/>
    <w:rPr>
      <w:rFonts w:ascii="Noto Sans CJK SC" w:hAnsi="Noto Sans CJK SC" w:eastAsia="Noto Sans CJK SC" w:cs="Noto Sans CJK SC"/>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Noto Sans CJK SC" w:hAnsi="Noto Sans CJK SC" w:eastAsia="Noto Sans CJK SC" w:cs="Noto Sans CJK SC"/>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Noto Sans CJK SC" w:hAnsi="Noto Sans CJK SC" w:eastAsia="Noto Sans CJK SC" w:cs="Noto Sans CJK SC"/>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Noto Sans CJK SC" w:hAnsi="Noto Sans CJK SC" w:eastAsia="Noto Sans CJK SC" w:cs="Noto Sans CJK SC"/>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Noto Sans CJK SC" w:hAnsi="Noto Sans CJK SC" w:eastAsia="Noto Sans CJK SC" w:cs="Noto Sans CJK SC"/>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Noto Sans CJK SC" w:hAnsi="Noto Sans CJK SC" w:eastAsia="Noto Sans CJK SC" w:cs="Noto Sans CJK SC"/>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Noto Sans CJK SC" w:hAnsi="Noto Sans CJK SC" w:eastAsia="Noto Sans CJK SC" w:cs="Noto Sans CJK SC"/>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Noto Sans CJK SC" w:hAnsi="Noto Sans CJK SC" w:eastAsia="Noto Sans CJK SC" w:cs="Noto Sans CJK SC"/>
      <w:b/>
      <w:bCs/>
      <w:color w:val="4F81BD" w:themeColor="accent1"/>
      <w:sz w:val="18"/>
      <w:szCs w:val="18"/>
    </w:rPr>
  </w:style>
  <w:style w:type="character" w:styleId="Strong">
    <w:name w:val="Strong"/>
    <w:basedOn w:val="DefaultParagraphFont"/>
    <w:uiPriority w:val="22"/>
    <w:qFormat/>
    <w:rsid w:val="00FC693F"/>
    <w:rPr>
      <w:rFonts w:ascii="Noto Sans CJK SC" w:hAnsi="Noto Sans CJK SC" w:eastAsia="Noto Sans CJK SC" w:cs="Noto Sans CJK SC"/>
      <w:b/>
      <w:bCs/>
    </w:rPr>
  </w:style>
  <w:style w:type="character" w:styleId="Emphasis">
    <w:name w:val="Emphasis"/>
    <w:basedOn w:val="DefaultParagraphFont"/>
    <w:uiPriority w:val="20"/>
    <w:qFormat/>
    <w:rsid w:val="00FC693F"/>
    <w:rPr>
      <w:rFonts w:ascii="Noto Sans CJK SC" w:hAnsi="Noto Sans CJK SC" w:eastAsia="Noto Sans CJK SC" w:cs="Noto Sans CJK SC"/>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Noto Sans CJK SC" w:hAnsi="Noto Sans CJK SC" w:eastAsia="Noto Sans CJK SC" w:cs="Noto Sans CJK SC"/>
      <w:b/>
      <w:bCs/>
      <w:i/>
      <w:iCs/>
      <w:color w:val="4F81BD" w:themeColor="accent1"/>
    </w:rPr>
  </w:style>
  <w:style w:type="character" w:customStyle="1" w:styleId="IntenseQuoteChar">
    <w:name w:val="Intense Quote Char"/>
    <w:basedOn w:val="DefaultParagraphFont"/>
    <w:link w:val="IntenseQuote"/>
    <w:uiPriority w:val="30"/>
    <w:rsid w:val="00FC693F"/>
    <w:rPr>
      <w:rFonts w:ascii="Noto Sans CJK SC" w:hAnsi="Noto Sans CJK SC" w:eastAsia="Noto Sans CJK SC" w:cs="Noto Sans CJK SC"/>
      <w:b/>
      <w:bCs/>
      <w:i/>
      <w:iCs/>
      <w:color w:val="4F81BD" w:themeColor="accent1"/>
    </w:rPr>
  </w:style>
  <w:style w:type="character" w:styleId="SubtleEmphasis">
    <w:name w:val="Subtle Emphasis"/>
    <w:basedOn w:val="DefaultParagraphFont"/>
    <w:uiPriority w:val="19"/>
    <w:qFormat/>
    <w:rsid w:val="00FC693F"/>
    <w:rPr>
      <w:rFonts w:ascii="Noto Sans CJK SC" w:hAnsi="Noto Sans CJK SC" w:eastAsia="Noto Sans CJK SC" w:cs="Noto Sans CJK SC"/>
      <w:i/>
      <w:iCs/>
      <w:color w:val="808080" w:themeColor="text1" w:themeTint="7F"/>
    </w:rPr>
  </w:style>
  <w:style w:type="character" w:styleId="IntenseEmphasis">
    <w:name w:val="Intense Emphasis"/>
    <w:basedOn w:val="DefaultParagraphFont"/>
    <w:uiPriority w:val="21"/>
    <w:qFormat/>
    <w:rsid w:val="00FC693F"/>
    <w:rPr>
      <w:rFonts w:ascii="Noto Sans CJK SC" w:hAnsi="Noto Sans CJK SC" w:eastAsia="Noto Sans CJK SC" w:cs="Noto Sans CJK SC"/>
      <w:b/>
      <w:bCs/>
      <w:i/>
      <w:iCs/>
      <w:color w:val="4F81BD" w:themeColor="accent1"/>
    </w:rPr>
  </w:style>
  <w:style w:type="character" w:styleId="SubtleReference">
    <w:name w:val="Subtle Reference"/>
    <w:basedOn w:val="DefaultParagraphFont"/>
    <w:uiPriority w:val="31"/>
    <w:qFormat/>
    <w:rsid w:val="00FC693F"/>
    <w:rPr>
      <w:rFonts w:ascii="Noto Sans CJK SC" w:hAnsi="Noto Sans CJK SC" w:eastAsia="Noto Sans CJK SC" w:cs="Noto Sans CJK SC"/>
      <w:smallCaps/>
      <w:color w:val="C0504D" w:themeColor="accent2"/>
      <w:u w:val="single"/>
    </w:rPr>
  </w:style>
  <w:style w:type="character" w:styleId="IntenseReference">
    <w:name w:val="Intense Reference"/>
    <w:basedOn w:val="DefaultParagraphFont"/>
    <w:uiPriority w:val="32"/>
    <w:qFormat/>
    <w:rsid w:val="00FC693F"/>
    <w:rPr>
      <w:rFonts w:ascii="Noto Sans CJK SC" w:hAnsi="Noto Sans CJK SC" w:eastAsia="Noto Sans CJK SC" w:cs="Noto Sans CJK SC"/>
      <w:b/>
      <w:bCs/>
      <w:smallCaps/>
      <w:color w:val="C0504D" w:themeColor="accent2"/>
      <w:spacing w:val="5"/>
      <w:u w:val="single"/>
    </w:rPr>
  </w:style>
  <w:style w:type="character" w:styleId="BookTitle">
    <w:name w:val="Book Title"/>
    <w:basedOn w:val="DefaultParagraphFont"/>
    <w:uiPriority w:val="33"/>
    <w:qFormat/>
    <w:rsid w:val="00FC693F"/>
    <w:rPr>
      <w:rFonts w:ascii="Noto Sans CJK SC" w:hAnsi="Noto Sans CJK SC" w:eastAsia="Noto Sans CJK SC" w:cs="Noto Sans CJK SC"/>
      <w:b/>
      <w:bCs/>
      <w:smallCaps/>
      <w:spacing w:val="5"/>
    </w:rPr>
  </w:style>
  <w:style w:type="paragraph" w:styleId="TOCHeading">
    <w:name w:val="TOC Heading"/>
    <w:basedOn w:val="Heading1"/>
    <w:next w:val="Normal"/>
    <w:uiPriority w:val="39"/>
    <w:semiHidden/>
    <w:unhideWhenUsed/>
    <w:qFormat/>
    <w:rsid w:val="00FC693F"/>
    <w:pPr>
      <w:outlineLvl w:val="9"/>
    </w:pPr>
    <w:rPr>
      <w:rFonts w:ascii="Noto Sans CJK SC" w:hAnsi="Noto Sans CJK SC" w:eastAsia="Noto Sans CJK SC" w:cs="Noto Sans CJK SC"/>
    </w:rPr>
  </w:style>
  <w:style w:type="table" w:styleId="TableGrid">
    <w:name w:val="Table Grid"/>
    <w:basedOn w:val="TableNormal"/>
    <w:uiPriority w:val="59"/>
    <w:rsid w:val="00FC693F"/>
    <w:pPr>
      <w:spacing w:after="0" w:line="240" w:lineRule="auto"/>
    </w:pPr>
    <w:rPr>
      <w:rFonts w:ascii="Noto Sans CJK SC" w:hAnsi="Noto Sans CJK SC" w:eastAsia="Noto Sans CJK SC" w:cs="Noto Sans CJK SC"/>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rFonts w:ascii="Noto Sans CJK SC" w:hAnsi="Noto Sans CJK SC" w:eastAsia="Noto Sans CJK SC" w:cs="Noto Sans CJK SC"/>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Noto Sans CJK SC" w:hAnsi="Noto Sans CJK SC" w:eastAsia="Noto Sans CJK SC" w:cs="Noto Sans CJK SC"/>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Noto Sans CJK SC" w:hAnsi="Noto Sans CJK SC" w:eastAsia="Noto Sans CJK SC" w:cs="Noto Sans CJK SC"/>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Noto Sans CJK SC" w:hAnsi="Noto Sans CJK SC" w:eastAsia="Noto Sans CJK SC" w:cs="Noto Sans CJK SC"/>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Noto Sans CJK SC" w:hAnsi="Noto Sans CJK SC" w:eastAsia="Noto Sans CJK SC" w:cs="Noto Sans CJK SC"/>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Noto Sans CJK SC" w:hAnsi="Noto Sans CJK SC" w:eastAsia="Noto Sans CJK SC" w:cs="Noto Sans CJK SC"/>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Noto Sans CJK SC" w:hAnsi="Noto Sans CJK SC" w:eastAsia="Noto Sans CJK SC" w:cs="Noto Sans CJK SC"/>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rFonts w:ascii="Noto Sans CJK SC" w:hAnsi="Noto Sans CJK SC" w:eastAsia="Noto Sans CJK SC" w:cs="Noto Sans CJK SC"/>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rFonts w:ascii="Noto Sans CJK SC" w:hAnsi="Noto Sans CJK SC" w:eastAsia="Noto Sans CJK SC" w:cs="Noto Sans CJK SC"/>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rFonts w:ascii="Noto Sans CJK SC" w:hAnsi="Noto Sans CJK SC" w:eastAsia="Noto Sans CJK SC" w:cs="Noto Sans CJK SC"/>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rFonts w:ascii="Noto Sans CJK SC" w:hAnsi="Noto Sans CJK SC" w:eastAsia="Noto Sans CJK SC" w:cs="Noto Sans CJK SC"/>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rFonts w:ascii="Noto Sans CJK SC" w:hAnsi="Noto Sans CJK SC" w:eastAsia="Noto Sans CJK SC" w:cs="Noto Sans CJK SC"/>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rFonts w:ascii="Noto Sans CJK SC" w:hAnsi="Noto Sans CJK SC" w:eastAsia="Noto Sans CJK SC" w:cs="Noto Sans CJK SC"/>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rFonts w:ascii="Noto Sans CJK SC" w:hAnsi="Noto Sans CJK SC" w:eastAsia="Noto Sans CJK SC" w:cs="Noto Sans CJK SC"/>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rFonts w:ascii="Noto Sans CJK SC" w:hAnsi="Noto Sans CJK SC" w:eastAsia="Noto Sans CJK SC" w:cs="Noto Sans CJK SC"/>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rFonts w:ascii="Noto Sans CJK SC" w:hAnsi="Noto Sans CJK SC" w:eastAsia="Noto Sans CJK SC" w:cs="Noto Sans CJK SC"/>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rFonts w:ascii="Noto Sans CJK SC" w:hAnsi="Noto Sans CJK SC" w:eastAsia="Noto Sans CJK SC" w:cs="Noto Sans CJK SC"/>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rFonts w:ascii="Noto Sans CJK SC" w:hAnsi="Noto Sans CJK SC" w:eastAsia="Noto Sans CJK SC" w:cs="Noto Sans CJK SC"/>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rFonts w:ascii="Noto Sans CJK SC" w:hAnsi="Noto Sans CJK SC" w:eastAsia="Noto Sans CJK SC" w:cs="Noto Sans CJK SC"/>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rFonts w:ascii="Noto Sans CJK SC" w:hAnsi="Noto Sans CJK SC" w:eastAsia="Noto Sans CJK SC" w:cs="Noto Sans CJK SC"/>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rFonts w:ascii="Noto Sans CJK SC" w:hAnsi="Noto Sans CJK SC" w:eastAsia="Noto Sans CJK SC" w:cs="Noto Sans CJK SC"/>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rFonts w:ascii="Noto Sans CJK SC" w:hAnsi="Noto Sans CJK SC" w:eastAsia="Noto Sans CJK SC" w:cs="Noto Sans CJK SC"/>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rFonts w:ascii="Noto Sans CJK SC" w:hAnsi="Noto Sans CJK SC" w:eastAsia="Noto Sans CJK SC" w:cs="Noto Sans CJK SC"/>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rFonts w:ascii="Noto Sans CJK SC" w:hAnsi="Noto Sans CJK SC" w:eastAsia="Noto Sans CJK SC" w:cs="Noto Sans CJK SC"/>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rFonts w:ascii="Noto Sans CJK SC" w:hAnsi="Noto Sans CJK SC" w:eastAsia="Noto Sans CJK SC" w:cs="Noto Sans CJK SC"/>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rFonts w:ascii="Noto Sans CJK SC" w:hAnsi="Noto Sans CJK SC" w:eastAsia="Noto Sans CJK SC" w:cs="Noto Sans CJK SC"/>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rFonts w:ascii="Noto Sans CJK SC" w:hAnsi="Noto Sans CJK SC" w:eastAsia="Noto Sans CJK SC" w:cs="Noto Sans CJK SC"/>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rFonts w:ascii="Noto Sans CJK SC" w:hAnsi="Noto Sans CJK SC" w:eastAsia="Noto Sans CJK SC" w:cs="Noto Sans CJK SC"/>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rFonts w:ascii="Noto Sans CJK SC" w:hAnsi="Noto Sans CJK SC" w:eastAsia="Noto Sans CJK SC" w:cs="Noto Sans CJK SC"/>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rFonts w:ascii="Noto Sans CJK SC" w:hAnsi="Noto Sans CJK SC" w:eastAsia="Noto Sans CJK SC" w:cs="Noto Sans CJK SC"/>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rFonts w:ascii="Noto Sans CJK SC" w:hAnsi="Noto Sans CJK SC" w:eastAsia="Noto Sans CJK SC" w:cs="Noto Sans CJK SC"/>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rFonts w:ascii="Noto Sans CJK SC" w:hAnsi="Noto Sans CJK SC" w:eastAsia="Noto Sans CJK SC" w:cs="Noto Sans CJK SC"/>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rFonts w:ascii="Noto Sans CJK SC" w:hAnsi="Noto Sans CJK SC" w:eastAsia="Noto Sans CJK SC" w:cs="Noto Sans CJK SC"/>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rFonts w:ascii="Noto Sans CJK SC" w:hAnsi="Noto Sans CJK SC" w:eastAsia="Noto Sans CJK SC" w:cs="Noto Sans CJK SC"/>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rFonts w:ascii="Noto Sans CJK SC" w:hAnsi="Noto Sans CJK SC" w:eastAsia="Noto Sans CJK SC" w:cs="Noto Sans CJK SC"/>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Noto Sans CJK SC" w:hAnsi="Noto Sans CJK SC" w:eastAsia="Noto Sans CJK SC" w:cs="Noto Sans CJK SC"/>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Noto Sans CJK SC" w:hAnsi="Noto Sans CJK SC" w:eastAsia="Noto Sans CJK SC" w:cs="Noto Sans CJK SC"/>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Noto Sans CJK SC" w:hAnsi="Noto Sans CJK SC" w:eastAsia="Noto Sans CJK SC" w:cs="Noto Sans CJK SC"/>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Noto Sans CJK SC" w:hAnsi="Noto Sans CJK SC" w:eastAsia="Noto Sans CJK SC" w:cs="Noto Sans CJK SC"/>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Noto Sans CJK SC" w:hAnsi="Noto Sans CJK SC" w:eastAsia="Noto Sans CJK SC" w:cs="Noto Sans CJK SC"/>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Noto Sans CJK SC" w:hAnsi="Noto Sans CJK SC" w:eastAsia="Noto Sans CJK SC" w:cs="Noto Sans CJK SC"/>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Noto Sans CJK SC" w:hAnsi="Noto Sans CJK SC" w:eastAsia="Noto Sans CJK SC" w:cs="Noto Sans CJK SC"/>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ascii="Noto Sans CJK SC" w:hAnsi="Noto Sans CJK SC" w:eastAsia="Noto Sans CJK SC" w:cs="Noto Sans CJK SC"/>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ascii="Noto Sans CJK SC" w:hAnsi="Noto Sans CJK SC" w:eastAsia="Noto Sans CJK SC" w:cs="Noto Sans CJK SC"/>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ascii="Noto Sans CJK SC" w:hAnsi="Noto Sans CJK SC" w:eastAsia="Noto Sans CJK SC" w:cs="Noto Sans CJK SC"/>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ascii="Noto Sans CJK SC" w:hAnsi="Noto Sans CJK SC" w:eastAsia="Noto Sans CJK SC" w:cs="Noto Sans CJK SC"/>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ascii="Noto Sans CJK SC" w:hAnsi="Noto Sans CJK SC" w:eastAsia="Noto Sans CJK SC" w:cs="Noto Sans CJK SC"/>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ascii="Noto Sans CJK SC" w:hAnsi="Noto Sans CJK SC" w:eastAsia="Noto Sans CJK SC" w:cs="Noto Sans CJK SC"/>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ascii="Noto Sans CJK SC" w:hAnsi="Noto Sans CJK SC" w:eastAsia="Noto Sans CJK SC" w:cs="Noto Sans CJK SC"/>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rFonts w:ascii="Noto Sans CJK SC" w:hAnsi="Noto Sans CJK SC" w:eastAsia="Noto Sans CJK SC" w:cs="Noto Sans CJK SC"/>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rFonts w:ascii="Noto Sans CJK SC" w:hAnsi="Noto Sans CJK SC" w:eastAsia="Noto Sans CJK SC" w:cs="Noto Sans CJK SC"/>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rFonts w:ascii="Noto Sans CJK SC" w:hAnsi="Noto Sans CJK SC" w:eastAsia="Noto Sans CJK SC" w:cs="Noto Sans CJK SC"/>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rFonts w:ascii="Noto Sans CJK SC" w:hAnsi="Noto Sans CJK SC" w:eastAsia="Noto Sans CJK SC" w:cs="Noto Sans CJK SC"/>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rFonts w:ascii="Noto Sans CJK SC" w:hAnsi="Noto Sans CJK SC" w:eastAsia="Noto Sans CJK SC" w:cs="Noto Sans CJK SC"/>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rFonts w:ascii="Noto Sans CJK SC" w:hAnsi="Noto Sans CJK SC" w:eastAsia="Noto Sans CJK SC" w:cs="Noto Sans CJK SC"/>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rFonts w:ascii="Noto Sans CJK SC" w:hAnsi="Noto Sans CJK SC" w:eastAsia="Noto Sans CJK SC" w:cs="Noto Sans CJK SC"/>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ascii="Noto Sans CJK SC" w:hAnsi="Noto Sans CJK SC" w:eastAsia="Noto Sans CJK SC" w:cs="Noto Sans CJK SC"/>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ascii="Noto Sans CJK SC" w:hAnsi="Noto Sans CJK SC" w:eastAsia="Noto Sans CJK SC" w:cs="Noto Sans CJK SC"/>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ascii="Noto Sans CJK SC" w:hAnsi="Noto Sans CJK SC" w:eastAsia="Noto Sans CJK SC" w:cs="Noto Sans CJK SC"/>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ascii="Noto Sans CJK SC" w:hAnsi="Noto Sans CJK SC" w:eastAsia="Noto Sans CJK SC" w:cs="Noto Sans CJK SC"/>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ascii="Noto Sans CJK SC" w:hAnsi="Noto Sans CJK SC" w:eastAsia="Noto Sans CJK SC" w:cs="Noto Sans CJK SC"/>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ascii="Noto Sans CJK SC" w:hAnsi="Noto Sans CJK SC" w:eastAsia="Noto Sans CJK SC" w:cs="Noto Sans CJK SC"/>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ascii="Noto Sans CJK SC" w:hAnsi="Noto Sans CJK SC" w:eastAsia="Noto Sans CJK SC" w:cs="Noto Sans CJK SC"/>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rFonts w:ascii="Noto Sans CJK SC" w:hAnsi="Noto Sans CJK SC" w:eastAsia="Noto Sans CJK SC" w:cs="Noto Sans CJK SC"/>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rFonts w:ascii="Noto Sans CJK SC" w:hAnsi="Noto Sans CJK SC" w:eastAsia="Noto Sans CJK SC" w:cs="Noto Sans CJK SC"/>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rFonts w:ascii="Noto Sans CJK SC" w:hAnsi="Noto Sans CJK SC" w:eastAsia="Noto Sans CJK SC" w:cs="Noto Sans CJK SC"/>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rFonts w:ascii="Noto Sans CJK SC" w:hAnsi="Noto Sans CJK SC" w:eastAsia="Noto Sans CJK SC" w:cs="Noto Sans CJK SC"/>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rFonts w:ascii="Noto Sans CJK SC" w:hAnsi="Noto Sans CJK SC" w:eastAsia="Noto Sans CJK SC" w:cs="Noto Sans CJK SC"/>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rFonts w:ascii="Noto Sans CJK SC" w:hAnsi="Noto Sans CJK SC" w:eastAsia="Noto Sans CJK SC" w:cs="Noto Sans CJK SC"/>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rFonts w:ascii="Noto Sans CJK SC" w:hAnsi="Noto Sans CJK SC" w:eastAsia="Noto Sans CJK SC" w:cs="Noto Sans CJK SC"/>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ascii="Noto Sans CJK SC" w:hAnsi="Noto Sans CJK SC" w:eastAsia="Noto Sans CJK SC" w:cs="Noto Sans CJK SC"/>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Noto Sans CJK SC" w:hAnsi="Noto Sans CJK SC" w:eastAsia="Noto Sans CJK SC" w:cs="Noto Sans CJK SC"/>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Noto Sans CJK SC" w:hAnsi="Noto Sans CJK SC" w:eastAsia="Noto Sans CJK SC" w:cs="Noto Sans CJK SC"/>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Noto Sans CJK SC" w:hAnsi="Noto Sans CJK SC" w:eastAsia="Noto Sans CJK SC" w:cs="Noto Sans CJK SC"/>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Noto Sans CJK SC" w:hAnsi="Noto Sans CJK SC" w:eastAsia="Noto Sans CJK SC" w:cs="Noto Sans CJK SC"/>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Noto Sans CJK SC" w:hAnsi="Noto Sans CJK SC" w:eastAsia="Noto Sans CJK SC" w:cs="Noto Sans CJK SC"/>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Noto Sans CJK SC" w:hAnsi="Noto Sans CJK SC" w:eastAsia="Noto Sans CJK SC" w:cs="Noto Sans CJK SC"/>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Noto Sans CJK SC" w:hAnsi="Noto Sans CJK SC" w:eastAsia="Noto Sans CJK SC" w:cs="Noto Sans CJK SC"/>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rFonts w:ascii="Noto Sans CJK SC" w:hAnsi="Noto Sans CJK SC" w:eastAsia="Noto Sans CJK SC" w:cs="Noto Sans CJK SC"/>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rFonts w:ascii="Noto Sans CJK SC" w:hAnsi="Noto Sans CJK SC" w:eastAsia="Noto Sans CJK SC" w:cs="Noto Sans CJK SC"/>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rFonts w:ascii="Noto Sans CJK SC" w:hAnsi="Noto Sans CJK SC" w:eastAsia="Noto Sans CJK SC" w:cs="Noto Sans CJK SC"/>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Noto Sans CJK SC" w:hAnsi="Noto Sans CJK SC" w:eastAsia="Noto Sans CJK SC" w:cs="Noto Sans CJK SC"/>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rFonts w:ascii="Noto Sans CJK SC" w:hAnsi="Noto Sans CJK SC" w:eastAsia="Noto Sans CJK SC" w:cs="Noto Sans CJK SC"/>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rFonts w:ascii="Noto Sans CJK SC" w:hAnsi="Noto Sans CJK SC" w:eastAsia="Noto Sans CJK SC" w:cs="Noto Sans CJK SC"/>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rFonts w:ascii="Noto Sans CJK SC" w:hAnsi="Noto Sans CJK SC" w:eastAsia="Noto Sans CJK SC" w:cs="Noto Sans CJK SC"/>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Noto Sans CJK SC" w:hAnsi="Noto Sans CJK SC" w:eastAsia="Noto Sans CJK SC" w:cs="Noto Sans CJK SC"/>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Noto Sans CJK SC" w:hAnsi="Noto Sans CJK SC" w:eastAsia="Noto Sans CJK SC" w:cs="Noto Sans CJK SC"/>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Noto Sans CJK SC" w:hAnsi="Noto Sans CJK SC" w:eastAsia="Noto Sans CJK SC" w:cs="Noto Sans CJK SC"/>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Noto Sans CJK SC" w:hAnsi="Noto Sans CJK SC" w:eastAsia="Noto Sans CJK SC" w:cs="Noto Sans CJK SC"/>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Noto Sans CJK SC" w:hAnsi="Noto Sans CJK SC" w:eastAsia="Noto Sans CJK SC" w:cs="Noto Sans CJK SC"/>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Noto Sans CJK SC" w:hAnsi="Noto Sans CJK SC" w:eastAsia="Noto Sans CJK SC" w:cs="Noto Sans CJK SC"/>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Noto Sans CJK SC" w:hAnsi="Noto Sans CJK SC" w:eastAsia="Noto Sans CJK SC" w:cs="Noto Sans CJK SC"/>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Noto Sans CJK SC" w:hAnsi="Noto Sans CJK SC" w:eastAsia="Noto Sans CJK SC" w:cs="Noto Sans CJK SC"/>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Noto Sans CJK SC" w:hAnsi="Noto Sans CJK SC" w:eastAsia="Noto Sans CJK SC" w:cs="Noto Sans CJK SC"/>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Noto Sans CJK SC" w:hAnsi="Noto Sans CJK SC" w:eastAsia="Noto Sans CJK SC" w:cs="Noto Sans CJK SC"/>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Noto Sans CJK SC" w:hAnsi="Noto Sans CJK SC" w:eastAsia="Noto Sans CJK SC" w:cs="Noto Sans CJK SC"/>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Noto Sans CJK SC" w:hAnsi="Noto Sans CJK SC" w:eastAsia="Noto Sans CJK SC" w:cs="Noto Sans CJK SC"/>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Noto Sans CJK SC" w:hAnsi="Noto Sans CJK SC" w:eastAsia="Noto Sans CJK SC" w:cs="Noto Sans CJK SC"/>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ResearchOps · Sprint 2 Start Brief</dc:title>
  <dc:subject>Sprint 2 Solution Validation Start Brief</dc:subject>
  <dc:creator>python-docx</dc:creator>
  <cp:keywords>ResearchOps, Sprint 2, Solution Validation, Baseline, Gate 1</cp:keywords>
  <dc:description>generated by python-docx</dc:description>
  <cp:lastModifiedBy/>
  <cp:revision>1</cp:revision>
  <dcterms:created xsi:type="dcterms:W3CDTF">2013-12-23T23:15:00Z</dcterms:created>
  <dcterms:modified xsi:type="dcterms:W3CDTF">2013-12-23T23:15:00Z</dcterms:modified>
  <cp:category/>
</cp:coreProperties>
</file>