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 w:line="276" w:lineRule="auto"/>
      </w:pPr>
      <w:r>
        <w:rPr>
          <w:b/>
          <w:color w:val="2F6B9A"/>
          <w:sz w:val="22"/>
        </w:rPr>
        <w:t>ResearchOps</w:t>
      </w:r>
    </w:p>
    <w:p>
      <w:pPr>
        <w:pStyle w:val="31"/>
        <w:spacing w:after="40"/>
      </w:pPr>
      <w:r>
        <w:t>产品需求文档</w:t>
      </w:r>
    </w:p>
    <w:p>
      <w:pPr>
        <w:spacing w:after="80" w:line="276" w:lineRule="auto"/>
      </w:pPr>
      <w:r>
        <w:rPr>
          <w:b/>
          <w:color w:val="163A5F"/>
          <w:sz w:val="28"/>
        </w:rPr>
        <w:t>PRD V1.0 · 复现前准备度评估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文档信息</w:t>
            </w:r>
          </w:p>
        </w:tc>
        <w:tc>
          <w:tcPr>
            <w:tcW w:type="dxa" w:w="81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9"/>
              </w:rPr>
              <w:t>Document ID</w:t>
            </w:r>
          </w:p>
        </w:tc>
        <w:tc>
          <w:tcPr>
            <w:tcW w:type="dxa" w:w="81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9"/>
              </w:rPr>
              <w:t>20260917_ResearchOps_PRD_V1.0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9"/>
              </w:rPr>
              <w:t>Version / Date</w:t>
            </w:r>
          </w:p>
        </w:tc>
        <w:tc>
          <w:tcPr>
            <w:tcW w:type="dxa" w:w="81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9"/>
              </w:rPr>
              <w:t>V1.0 / 2026-09-17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9"/>
              </w:rPr>
              <w:t>Status</w:t>
            </w:r>
          </w:p>
        </w:tc>
        <w:tc>
          <w:tcPr>
            <w:tcW w:type="dxa" w:w="81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9"/>
              </w:rPr>
              <w:t>精简修订版 · Ready for Review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9"/>
              </w:rPr>
              <w:t>Product</w:t>
            </w:r>
          </w:p>
        </w:tc>
        <w:tc>
          <w:tcPr>
            <w:tcW w:type="dxa" w:w="81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9"/>
              </w:rPr>
              <w:t>ResearchOps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9"/>
              </w:rPr>
              <w:t>Scope</w:t>
            </w:r>
          </w:p>
        </w:tc>
        <w:tc>
          <w:tcPr>
            <w:tcW w:type="dxa" w:w="81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9"/>
              </w:rPr>
              <w:t>Reproduction Readiness Assessment（唯一 P0 主路径）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1F8F4"/>
            <w:tcBorders>
              <w:top w:val="nil"/>
              <w:left w:val="single" w:sz="18" w:color="2E7D5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color w:val="24323F"/>
                <w:sz w:val="20"/>
              </w:rPr>
              <w:t>本次修订原则</w:t>
            </w:r>
          </w:p>
          <w:p>
            <w:pPr>
              <w:spacing w:after="0" w:line="276" w:lineRule="auto"/>
            </w:pPr>
            <w:r>
              <w:rPr>
                <w:color w:val="24323F"/>
                <w:sz w:val="19"/>
              </w:rPr>
              <w:t>不重开已冻结的产品决策，不新增核心 Dimension，不扩大 MVP 权限；重点做三件事：压缩重复背景、补足可开发的功能行为/异常、用下游文档承接字段/页面/Prompt 等细节。现有 IA、Schema、Event Tracking、Safety、AI Solution、Prompt Design 与 Figma Handoff 的核心语义继续有效。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t>当前阶段：问题验证 → Baseline 验证 → Readiness 定义 → PRD → IA / Schema → Figma / Concept Test → AI Solution / Prompt Design。</w:t>
      </w:r>
    </w:p>
    <w:p>
      <w:pPr>
        <w:pStyle w:val="3"/>
      </w:pPr>
      <w:r>
        <w:t>0. 版本与文档边界</w:t>
      </w:r>
    </w:p>
    <w:p>
      <w:pPr>
        <w:pStyle w:val="4"/>
      </w:pPr>
      <w:r>
        <w:t>0.1 Version History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1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65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756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主要变化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V0.8</w:t>
            </w:r>
          </w:p>
        </w:tc>
        <w:tc>
          <w:tcPr>
            <w:tcW w:type="dxa" w:w="165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2026-08-26</w:t>
            </w:r>
          </w:p>
        </w:tc>
        <w:tc>
          <w:tcPr>
            <w:tcW w:type="dxa" w:w="756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首版 Day 4 PRD，冻结 P0 主路径、三个 Readiness Dimension、四状态、三 Gate。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V0.9</w:t>
            </w:r>
          </w:p>
        </w:tc>
        <w:tc>
          <w:tcPr>
            <w:tcW w:type="dxa" w:w="165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2026-08-26</w:t>
            </w:r>
          </w:p>
        </w:tc>
        <w:tc>
          <w:tcPr>
            <w:tcW w:type="dxa" w:w="756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修订目标入口与关联材料发现、执行环境只读获取、Confirmation / Authorization 分离。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V1.0</w:t>
            </w:r>
          </w:p>
        </w:tc>
        <w:tc>
          <w:tcPr>
            <w:tcW w:type="dxa" w:w="165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2026-09-17</w:t>
            </w:r>
          </w:p>
        </w:tc>
        <w:tc>
          <w:tcPr>
            <w:tcW w:type="dxa" w:w="756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精简重构：删除重复治理表述；补充 FR 的触发/异常/输出；新增轻量 NFR、Assumptions / Dependencies；不改变核心产品逻辑。</w:t>
            </w:r>
          </w:p>
        </w:tc>
      </w:tr>
    </w:tbl>
    <w:p>
      <w:pPr>
        <w:spacing w:after="80" w:line="276" w:lineRule="auto"/>
      </w:pPr>
    </w:p>
    <w:p>
      <w:pPr>
        <w:pStyle w:val="4"/>
      </w:pPr>
      <w:r>
        <w:t>0.2 本 PRD 负责什么</w:t>
      </w:r>
    </w:p>
    <w:p>
      <w:pPr>
        <w:spacing w:after="80" w:line="276" w:lineRule="auto"/>
      </w:pPr>
      <w:r>
        <w:t>本 PRD 只回答产品层的“为什么做、做什么、核心规则是什么、关键功能如何工作、如何验收”。字段级、页面级、运行级细节由下游规格承接，避免同一规则在多份文档中反复抄写。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下游文档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主要承接内容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Readiness Dimension Definition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Dimension、Status、Gate 与 Evidence 判断规则。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Information Architecture / Figma Handoff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页面、信息层级、关键交互与状态呈现。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Field Dictionary / Output Schema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对象、字段、枚举、引用关系与输出结构。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Event Tracking Plan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Concept Test 最小事件与观察项。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Safety Boundary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AI / Rule / Human 权限与只读边界。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AI Solution / Prompt Design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AI → Tool → Evidence / Finding → Rule 的运行机制与 Prompt 约束。</w:t>
            </w:r>
          </w:p>
        </w:tc>
      </w:tr>
    </w:tbl>
    <w:p>
      <w:pPr>
        <w:spacing w:after="80" w:line="276" w:lineRule="auto"/>
      </w:pPr>
    </w:p>
    <w:p>
      <w:pPr>
        <w:pStyle w:val="3"/>
      </w:pPr>
      <w:r>
        <w:t>1. 产品背景与问题</w:t>
      </w:r>
    </w:p>
    <w:p>
      <w:pPr>
        <w:pStyle w:val="4"/>
      </w:pPr>
      <w:r>
        <w:t>1.1 目标用户与核心场景</w:t>
      </w:r>
    </w:p>
    <w:p>
      <w:pPr>
        <w:spacing w:after="80" w:line="276" w:lineRule="auto"/>
      </w:pPr>
      <w:r>
        <w:t>ResearchOps 面向正在复现开源 AI 论文 / 项目的研究生、科研人员及初级算法工程师。用户具备基础代码阅读、环境配置与模型运行能力，但在投入数据下载、环境搭建、GPU / 存储与较长实验时间前，需要先判断“当前条件是否值得继续投入”。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1F8F4"/>
            <w:tcBorders>
              <w:top w:val="nil"/>
              <w:left w:val="single" w:sz="18" w:color="2E7D5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color w:val="24323F"/>
                <w:sz w:val="20"/>
              </w:rPr>
              <w:t>核心场景</w:t>
            </w:r>
          </w:p>
          <w:p>
            <w:pPr>
              <w:spacing w:after="0" w:line="276" w:lineRule="auto"/>
            </w:pPr>
            <w:r>
              <w:rPr>
                <w:color w:val="24323F"/>
                <w:sz w:val="19"/>
              </w:rPr>
              <w:t>用户已经选定一篇论文或项目，希望在高成本复现前快速确认关键条件、最大阻塞 / 风险 / Unknown、是否值得继续，以及第一步应先处理什么。</w:t>
            </w:r>
          </w:p>
        </w:tc>
      </w:tr>
    </w:tbl>
    <w:p>
      <w:pPr>
        <w:spacing w:after="80" w:line="276" w:lineRule="auto"/>
      </w:pPr>
    </w:p>
    <w:p>
      <w:pPr>
        <w:pStyle w:val="4"/>
      </w:pPr>
      <w:r>
        <w:t>1.2 问题陈述与 JTBD</w:t>
      </w:r>
    </w:p>
    <w:p>
      <w:pPr>
        <w:spacing w:after="80" w:line="276" w:lineRule="auto"/>
      </w:pPr>
      <w:r>
        <w:t>复现所需信息分散在 Paper、Repository、README、Issue、Dataset / Checkpoint、依赖文件与用户实际执行环境中。困难不只是“找到信息”，而是把分散 Evidence 稳定转化为可追溯的 Readiness 判断与可执行 Next Action。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用户断点</w:t>
            </w:r>
          </w:p>
        </w:tc>
        <w:tc>
          <w:tcPr>
            <w:tcW w:type="dxa" w:w="64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产品需要解决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信息找到了，但没有进入判断</w:t>
            </w:r>
          </w:p>
        </w:tc>
        <w:tc>
          <w:tcPr>
            <w:tcW w:type="dxa" w:w="64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把 Evidence 转为 Finding / Unknown，并归入固定 Readiness 结构。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“没找到”被误认为“已满足/已失败”</w:t>
            </w:r>
          </w:p>
        </w:tc>
        <w:tc>
          <w:tcPr>
            <w:tcW w:type="dxa" w:w="64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显式区分 Ready / Warning / Blocked / Unknown。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关键前置条件遗漏或冲突被覆盖</w:t>
            </w:r>
          </w:p>
        </w:tc>
        <w:tc>
          <w:tcPr>
            <w:tcW w:type="dxa" w:w="64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保留来源、冲突与验证状态，支持回查。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不知道是否继续、先做什么</w:t>
            </w:r>
          </w:p>
        </w:tc>
        <w:tc>
          <w:tcPr>
            <w:tcW w:type="dxa" w:w="64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输出 Overall Gate 与优先 Next Action。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t>JTBD：当我准备复现一篇 AI 论文或开源项目时，我希望在正式投入高成本资源前，快速确认当前条件、关键风险与 Unknown、是否值得继续，以及下一步最应该先处理什么，从而减少无效尝试与返工。</w:t>
      </w:r>
    </w:p>
    <w:p>
      <w:pPr>
        <w:pStyle w:val="4"/>
      </w:pPr>
      <w:r>
        <w:t>1.3 当前价值主张</w:t>
      </w:r>
    </w:p>
    <w:p>
      <w:pPr>
        <w:spacing w:after="80" w:line="276" w:lineRule="auto"/>
      </w:pPr>
      <w:r>
        <w:t>ResearchOps 不以“回答更长”或“单纯读仓库”作为差异化。当前 MVP 验证的是：Structured Readiness Card、Evidence-linked Findings 与 Next Action / Gate，是否让用户更快看清当前状态、依据与下一步。</w:t>
      </w:r>
    </w:p>
    <w:p>
      <w:pPr>
        <w:pStyle w:val="3"/>
      </w:pPr>
      <w:r>
        <w:t>2. 产品目标、成功条件与范围</w:t>
      </w:r>
    </w:p>
    <w:p>
      <w:pPr>
        <w:pStyle w:val="4"/>
      </w:pPr>
      <w:r>
        <w:t>2.1 产品目标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0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734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G1 结构化 Readiness</w:t>
            </w:r>
          </w:p>
        </w:tc>
        <w:tc>
          <w:tcPr>
            <w:tcW w:type="dxa" w:w="734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固定使用 RD-01 / RD-02 / RD-03 组织复现前关键条件，并显式暴露四状态。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G2 Evidence 可核对</w:t>
            </w:r>
          </w:p>
        </w:tc>
        <w:tc>
          <w:tcPr>
            <w:tcW w:type="dxa" w:w="734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关键 Finding 与可定位 Evidence 绑定；冲突与 Unknown 不被静默覆盖。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G3 决策可行动</w:t>
            </w:r>
          </w:p>
        </w:tc>
        <w:tc>
          <w:tcPr>
            <w:tcW w:type="dxa" w:w="734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输出阶段性 Overall Gate，并给出优先 Next Action。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G4 保留用户控制</w:t>
            </w:r>
          </w:p>
        </w:tc>
        <w:tc>
          <w:tcPr>
            <w:tcW w:type="dxa" w:w="734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当前 MVP 只读获取；最终是否投入完整复现由用户决定。</w:t>
            </w:r>
          </w:p>
        </w:tc>
      </w:tr>
    </w:tbl>
    <w:p>
      <w:pPr>
        <w:spacing w:after="80" w:line="276" w:lineRule="auto"/>
      </w:pPr>
    </w:p>
    <w:p>
      <w:pPr>
        <w:pStyle w:val="4"/>
      </w:pPr>
      <w:r>
        <w:t>2.2 MVP 成功条件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成功条件</w:t>
            </w:r>
          </w:p>
        </w:tc>
        <w:tc>
          <w:tcPr>
            <w:tcW w:type="dxa" w:w="66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PRD 级验收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SC-01</w:t>
            </w:r>
          </w:p>
        </w:tc>
        <w:tc>
          <w:tcPr>
            <w:tcW w:type="dxa" w:w="25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Readiness 可理解</w:t>
            </w:r>
          </w:p>
        </w:tc>
        <w:tc>
          <w:tcPr>
            <w:tcW w:type="dxa" w:w="66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用户能理解三个核心 Dimension 与 Ready / Warning / Blocked / Unknown。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SC-02</w:t>
            </w:r>
          </w:p>
        </w:tc>
        <w:tc>
          <w:tcPr>
            <w:tcW w:type="dxa" w:w="25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关键问题可发现</w:t>
            </w:r>
          </w:p>
        </w:tc>
        <w:tc>
          <w:tcPr>
            <w:tcW w:type="dxa" w:w="66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能突出最重要 Blocker、Gate-critical Unknown 或重要 Warning。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SC-03</w:t>
            </w:r>
          </w:p>
        </w:tc>
        <w:tc>
          <w:tcPr>
            <w:tcW w:type="dxa" w:w="25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Evidence 可核对</w:t>
            </w:r>
          </w:p>
        </w:tc>
        <w:tc>
          <w:tcPr>
            <w:tcW w:type="dxa" w:w="66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关键 Finding 有 Source / Location 或明确 Unknown，且保留验证状态。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SC-04</w:t>
            </w:r>
          </w:p>
        </w:tc>
        <w:tc>
          <w:tcPr>
            <w:tcW w:type="dxa" w:w="25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Gate 可解释</w:t>
            </w:r>
          </w:p>
        </w:tc>
        <w:tc>
          <w:tcPr>
            <w:tcW w:type="dxa" w:w="66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Gate 仅为 PROCEED / CONDITIONAL PROCEED / PAUSE，并说明触发原因。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SC-05</w:t>
            </w:r>
          </w:p>
        </w:tc>
        <w:tc>
          <w:tcPr>
            <w:tcW w:type="dxa" w:w="25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行动可执行</w:t>
            </w:r>
          </w:p>
        </w:tc>
        <w:tc>
          <w:tcPr>
            <w:tcW w:type="dxa" w:w="66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PAUSE / CONDITIONAL PROCEED 至少有 1 条明确 Next Action。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t>当前“成功”指 Concept Design / Concept Test 可验证，不等于已经证明产品效果。正式效果比较仍按后续受控测试执行。</w:t>
      </w:r>
    </w:p>
    <w:p>
      <w:pPr>
        <w:pStyle w:val="4"/>
      </w:pPr>
      <w:r>
        <w:t>2.3 P0 / P1 / P2 与 Non-goals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当前范围</w:t>
            </w:r>
          </w:p>
        </w:tc>
        <w:tc>
          <w:tcPr>
            <w:tcW w:type="dxa" w:w="446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P0</w:t>
            </w:r>
          </w:p>
        </w:tc>
        <w:tc>
          <w:tcPr>
            <w:tcW w:type="dxa" w:w="46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Reproduction Readiness Assessment</w:t>
            </w:r>
          </w:p>
        </w:tc>
        <w:tc>
          <w:tcPr>
            <w:tcW w:type="dxa" w:w="446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唯一主路径。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P0</w:t>
            </w:r>
          </w:p>
        </w:tc>
        <w:tc>
          <w:tcPr>
            <w:tcW w:type="dxa" w:w="46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P01 数据与权限 / P02 依赖与环境 / P03 权重与配置</w:t>
            </w:r>
          </w:p>
        </w:tc>
        <w:tc>
          <w:tcPr>
            <w:tcW w:type="dxa" w:w="446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分别映射 RD-01 / RD-02 / RD-03。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P0</w:t>
            </w:r>
          </w:p>
        </w:tc>
        <w:tc>
          <w:tcPr>
            <w:tcW w:type="dxa" w:w="46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P07 证据链</w:t>
            </w:r>
          </w:p>
        </w:tc>
        <w:tc>
          <w:tcPr>
            <w:tcW w:type="dxa" w:w="446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作为 Evidence-linked Findings 横向机制，不单独成为 Dimension。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P1</w:t>
            </w:r>
          </w:p>
        </w:tc>
        <w:tc>
          <w:tcPr>
            <w:tcW w:type="dxa" w:w="46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P04 资源需求 / P05 运行后诊断</w:t>
            </w:r>
          </w:p>
        </w:tc>
        <w:tc>
          <w:tcPr>
            <w:tcW w:type="dxa" w:w="446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资源仅保留轻量 Constraint Signal；运行后诊断不进当前闭环。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P2</w:t>
            </w:r>
          </w:p>
        </w:tc>
        <w:tc>
          <w:tcPr>
            <w:tcW w:type="dxa" w:w="46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P06 评测口径</w:t>
            </w:r>
          </w:p>
        </w:tc>
        <w:tc>
          <w:tcPr>
            <w:tcW w:type="dxa" w:w="446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只保留明显 Evaluation Conflict Signal。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t>当前不做：自动完整复现、自动训练 / 调参、环境自动修复、GPU 调度、完整资源预测、完整 Evaluation Alignment、通用 Multi-Agent / MCP 控制台、复杂科研项目管理。</w:t>
      </w:r>
    </w:p>
    <w:p>
      <w:pPr>
        <w:spacing w:after="80" w:line="276" w:lineRule="auto"/>
      </w:pPr>
    </w:p>
    <w:p>
      <w:pPr>
        <w:pStyle w:val="3"/>
      </w:pPr>
      <w:r>
        <w:t>3. 核心产品规则</w:t>
      </w:r>
    </w:p>
    <w:p>
      <w:pPr>
        <w:pStyle w:val="4"/>
      </w:pPr>
      <w:r>
        <w:t>3.1 Readiness Dimension 与 Status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64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判断范围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RD-01 Data &amp; Access Readiness</w:t>
            </w:r>
          </w:p>
        </w:tc>
        <w:tc>
          <w:tcPr>
            <w:tcW w:type="dxa" w:w="64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Dataset、访问权限、路径 / 输入要求等数据与访问前置条件。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RD-02 Environment &amp; Dependency Readiness</w:t>
            </w:r>
          </w:p>
        </w:tc>
        <w:tc>
          <w:tcPr>
            <w:tcW w:type="dxa" w:w="64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OS / Python / Framework / CUDA / Driver / Dependency 等环境条件。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RD-03 Weights &amp; Configuration Readiness</w:t>
            </w:r>
          </w:p>
        </w:tc>
        <w:tc>
          <w:tcPr>
            <w:tcW w:type="dxa" w:w="64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Checkpoint / Weights、Config、加载契约与关键运行配置。</w:t>
            </w:r>
          </w:p>
        </w:tc>
      </w:tr>
    </w:tbl>
    <w:p>
      <w:pPr>
        <w:spacing w:after="80" w:line="276" w:lineRule="auto"/>
      </w:pP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4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51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最低证据要求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Ready</w:t>
            </w:r>
          </w:p>
        </w:tc>
        <w:tc>
          <w:tcPr>
            <w:tcW w:type="dxa" w:w="374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Gate-critical 条件已有足够证据支持基本满足</w:t>
            </w:r>
          </w:p>
        </w:tc>
        <w:tc>
          <w:tcPr>
            <w:tcW w:type="dxa" w:w="51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需要正向 / 足够 Evidence；“未发现问题”本身不够。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Warning</w:t>
            </w:r>
          </w:p>
        </w:tc>
        <w:tc>
          <w:tcPr>
            <w:tcW w:type="dxa" w:w="374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已知存在非阻塞风险</w:t>
            </w:r>
          </w:p>
        </w:tc>
        <w:tc>
          <w:tcPr>
            <w:tcW w:type="dxa" w:w="51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需要明确风险 Evidence，但不足以证明一定失败。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Blocked</w:t>
            </w:r>
          </w:p>
        </w:tc>
        <w:tc>
          <w:tcPr>
            <w:tcW w:type="dxa" w:w="374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已确认必要条件不满足</w:t>
            </w:r>
          </w:p>
        </w:tc>
        <w:tc>
          <w:tcPr>
            <w:tcW w:type="dxa" w:w="51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必须有明确负向 / 阻塞 Evidence。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Unknown</w:t>
            </w:r>
          </w:p>
        </w:tc>
        <w:tc>
          <w:tcPr>
            <w:tcW w:type="dxa" w:w="374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当前无法可靠判断</w:t>
            </w:r>
          </w:p>
        </w:tc>
        <w:tc>
          <w:tcPr>
            <w:tcW w:type="dxa" w:w="51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证据缺失、冲突或关键输入不足；不得猜成 Ready / Blocked。</w:t>
            </w:r>
          </w:p>
        </w:tc>
      </w:tr>
    </w:tbl>
    <w:p>
      <w:pPr>
        <w:spacing w:after="80" w:line="276" w:lineRule="auto"/>
      </w:pPr>
    </w:p>
    <w:p>
      <w:pPr>
        <w:pStyle w:val="4"/>
      </w:pPr>
      <w:r>
        <w:t>3.2 Overall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1F8F4"/>
            <w:tcBorders>
              <w:top w:val="nil"/>
              <w:left w:val="single" w:sz="18" w:color="2E7D5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color w:val="24323F"/>
                <w:sz w:val="20"/>
              </w:rPr>
              <w:t>Gate 规则</w:t>
            </w:r>
          </w:p>
          <w:p>
            <w:pPr>
              <w:spacing w:after="0" w:line="276" w:lineRule="auto"/>
            </w:pPr>
            <w:r>
              <w:rPr>
                <w:color w:val="24323F"/>
                <w:sz w:val="19"/>
              </w:rPr>
              <w:t>已确认 Gate-critical Blocker 或 Resource Blocked Signal → PAUSE；无明确 Blocker，但核心 Dimension 或必要 Signal 存在 Warning / Unknown → CONDITIONAL PROCEED；三个核心 Dimension 均为 Ready → PROCEED。Gate 不采用平均分或加权总分。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t>gate_available = false 表示 Gate 尚未形成，不是第四种 Gate；PAUSE 表示当前路径先解除阻塞，不等于永久放弃项目。</w:t>
      </w:r>
    </w:p>
    <w:p>
      <w:pPr>
        <w:pStyle w:val="4"/>
      </w:pPr>
      <w:r>
        <w:t>3.3 Evidence、Conflict 与 Next Action</w:t>
      </w:r>
    </w:p>
    <w:p>
      <w:pPr>
        <w:pStyle w:val="16"/>
        <w:spacing w:after="40"/>
      </w:pPr>
      <w:r>
        <w:t>关键 Finding 应可定位到 Source / Location；无法可靠定位时保留验证状态，不伪造引用。</w:t>
      </w:r>
    </w:p>
    <w:p>
      <w:pPr>
        <w:pStyle w:val="16"/>
        <w:spacing w:after="40"/>
      </w:pPr>
      <w:r>
        <w:t>Material ≠ Evidence ≠ Finding ≠ Status；引用存在不等于事实已独立验证。</w:t>
      </w:r>
    </w:p>
    <w:p>
      <w:pPr>
        <w:pStyle w:val="16"/>
        <w:spacing w:after="40"/>
      </w:pPr>
      <w:r>
        <w:t>Paper / README / Repository / Config / Issue 的关键冲突显式保留；一个 Root Cause 只维护一个 Finding ID。</w:t>
      </w:r>
    </w:p>
    <w:p>
      <w:pPr>
        <w:pStyle w:val="16"/>
        <w:spacing w:after="40"/>
      </w:pPr>
      <w:r>
        <w:t>Next Action 固定优先级：Blocker → Gate-critical Unknown → Warning → Minimum Validation → Higher-cost Reproduction。</w:t>
      </w:r>
    </w:p>
    <w:p>
      <w:pPr>
        <w:pStyle w:val="3"/>
      </w:pPr>
      <w:r>
        <w:t>4. 核心用户流程与关键状态</w:t>
      </w:r>
    </w:p>
    <w:p>
      <w:pPr>
        <w:pStyle w:val="4"/>
      </w:pPr>
      <w:r>
        <w:t>4.1 主路径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1F8F4"/>
            <w:tcBorders>
              <w:top w:val="nil"/>
              <w:left w:val="single" w:sz="18" w:color="2E7D5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color w:val="24323F"/>
                <w:sz w:val="20"/>
              </w:rPr>
              <w:t>Main Flow</w:t>
            </w:r>
          </w:p>
          <w:p>
            <w:pPr>
              <w:spacing w:after="0" w:line="276" w:lineRule="auto"/>
            </w:pPr>
            <w:r>
              <w:rPr>
                <w:color w:val="24323F"/>
                <w:sz w:val="19"/>
              </w:rPr>
              <w:t>Task Setup → Target / Material Identification →（必要时 Target Confirmation）→ Environment Input →（选择只读检测时 Authorization）→ Readiness Overview → Dimension Detail → Finding → Evidence → Next Action / Feedback</w:t>
            </w:r>
          </w:p>
        </w:tc>
      </w:tr>
    </w:tbl>
    <w:p>
      <w:pPr>
        <w:spacing w:after="80" w:line="276" w:lineRule="auto"/>
      </w:pPr>
    </w:p>
    <w:p>
      <w:pPr>
        <w:pStyle w:val="4"/>
      </w:pPr>
      <w:r>
        <w:t>4.2 输入、确认与授权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产品行为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Target Entry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用户至少提供一个可识别入口：Paper Title / DOI / arXiv / Repository / Project Page。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Material Discovery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系统基于目标入口发现关联 Paper / Repository / README / Dataset / Checkpoint / Config / Issue 等材料。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Target / Source Confirmation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仅在关键映射歧义时出现，回答“分析对象是否正确？”。不得与权限授权混用。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Environment Input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可使用 Read-only Detection / Snapshot / Manual Input；也可暂不提供。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Read-only Authorization</w:t>
            </w:r>
          </w:p>
        </w:tc>
        <w:tc>
          <w:tcPr>
            <w:tcW w:type="dxa" w:w="71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仅在系统需要读取实际执行环境时请求，回答“系统是否被允许读取指定范围？”。</w:t>
            </w:r>
          </w:p>
        </w:tc>
      </w:tr>
    </w:tbl>
    <w:p>
      <w:pPr>
        <w:spacing w:after="80" w:line="276" w:lineRule="auto"/>
      </w:pPr>
    </w:p>
    <w:p>
      <w:pPr>
        <w:pStyle w:val="4"/>
      </w:pPr>
      <w:r>
        <w:t>4.3 业务状态与获取状态分离</w:t>
      </w:r>
    </w:p>
    <w:p>
      <w:pPr>
        <w:spacing w:after="80" w:line="276" w:lineRule="auto"/>
      </w:pPr>
      <w:r>
        <w:t>Processing、Partial Result、Acquisition Failure、Unauthorized / Not Provided 属于分析或获取状态，不是 Readiness Status。获取失败不能直接把 RD-02 判为 Blocked；可转 Snapshot / Manual Input，仍不足时再保留 Unknown。</w:t>
      </w:r>
    </w:p>
    <w:p>
      <w:pPr>
        <w:pStyle w:val="3"/>
      </w:pPr>
      <w:r>
        <w:t>5. 功能需求</w:t>
      </w:r>
    </w:p>
    <w:p>
      <w:pPr>
        <w:spacing w:after="80" w:line="276" w:lineRule="auto"/>
      </w:pPr>
      <w:r>
        <w:t>本节只补到“可开发 / 可测试”的产品行为层，不重复 Field Dictionary、Output Schema 或 Prompt 细节。字段名和具体页面布局仍以下游文档为准。</w:t>
      </w:r>
    </w:p>
    <w:p>
      <w:pPr>
        <w:pStyle w:val="4"/>
      </w:pPr>
      <w:r>
        <w:t>5.1 核心 P0 功能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7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0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0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 / 核心行为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异常 / 边界</w:t>
            </w:r>
          </w:p>
        </w:tc>
        <w:tc>
          <w:tcPr>
            <w:tcW w:type="dxa" w:w="230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 / 验收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FR-01</w:t>
            </w:r>
          </w:p>
        </w:tc>
        <w:tc>
          <w:tcPr>
            <w:tcW w:type="dxa" w:w="180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任务、约束与环境输入</w:t>
            </w:r>
          </w:p>
        </w:tc>
        <w:tc>
          <w:tcPr>
            <w:tcW w:type="dxa" w:w="30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Trigger：创建评估任务。</w:t>
              <w:br/>
              <w:t>Input：复现目标 + ≥1 Target Entry；环境可只读/快照/手工。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关键输入不足不阻止创建；进入 Unknown / 补充输入。环境读取前必须授权。</w:t>
            </w:r>
          </w:p>
        </w:tc>
        <w:tc>
          <w:tcPr>
            <w:tcW w:type="dxa" w:w="230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Output：Task Context。</w:t>
              <w:br/>
              <w:t>验收：至少一个可识别入口即可开始。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FR-02</w:t>
            </w:r>
          </w:p>
        </w:tc>
        <w:tc>
          <w:tcPr>
            <w:tcW w:type="dxa" w:w="180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关联材料发现与理解</w:t>
            </w:r>
          </w:p>
        </w:tc>
        <w:tc>
          <w:tcPr>
            <w:tcW w:type="dxa" w:w="30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Trigger：Target 已识别或用户补充新入口。</w:t>
              <w:br/>
              <w:t>Behavior：发现官方关联材料，识别关键要求、来源与冲突。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关键映射歧义 → Human Confirmation；官方路径可继续时不跳到独立第三方搜索。</w:t>
            </w:r>
          </w:p>
        </w:tc>
        <w:tc>
          <w:tcPr>
            <w:tcW w:type="dxa" w:w="230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Output：Materials + Gap / Conflict。</w:t>
              <w:br/>
              <w:t>验收：冲突不静默覆盖。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FR-03</w:t>
            </w:r>
          </w:p>
        </w:tc>
        <w:tc>
          <w:tcPr>
            <w:tcW w:type="dxa" w:w="180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Structured Readiness Card</w:t>
            </w:r>
          </w:p>
        </w:tc>
        <w:tc>
          <w:tcPr>
            <w:tcW w:type="dxa" w:w="30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Trigger：有足够 Evidence / Context 进入判断。</w:t>
              <w:br/>
              <w:t>Behavior：固定展示 RD-01 / RD-02 / RD-03 与单维 Status。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No Finding ≠ Ready；获取状态不得冒充业务 Status。</w:t>
            </w:r>
          </w:p>
        </w:tc>
        <w:tc>
          <w:tcPr>
            <w:tcW w:type="dxa" w:w="230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Output：3 个 Dimension 的阶段性结果。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FR-04</w:t>
            </w:r>
          </w:p>
        </w:tc>
        <w:tc>
          <w:tcPr>
            <w:tcW w:type="dxa" w:w="180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Finding &amp; Unknown</w:t>
            </w:r>
          </w:p>
        </w:tc>
        <w:tc>
          <w:tcPr>
            <w:tcW w:type="dxa" w:w="30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Behavior：每个 Dimension 输出关键 Finding / Unknown、Gate Impact；Root Cause 去重。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证据缺失/冲突时保留 Unknown；不凭“没找到”判 Blocked。</w:t>
            </w:r>
          </w:p>
        </w:tc>
        <w:tc>
          <w:tcPr>
            <w:tcW w:type="dxa" w:w="230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Output：可追溯 Finding。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FR-05</w:t>
            </w:r>
          </w:p>
        </w:tc>
        <w:tc>
          <w:tcPr>
            <w:tcW w:type="dxa" w:w="180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Evidence-linked Findings</w:t>
            </w:r>
          </w:p>
        </w:tc>
        <w:tc>
          <w:tcPr>
            <w:tcW w:type="dxa" w:w="30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Behavior：关键 Finding 绑定 Evidence Source / Location，并区分 Fact / Inference / Unknown。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无法精确定位时不伪造引用；保留 verification status / conflict。</w:t>
            </w:r>
          </w:p>
        </w:tc>
        <w:tc>
          <w:tcPr>
            <w:tcW w:type="dxa" w:w="230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Output：Evidence 链；用户可返回原 Finding / Gate 核对。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FR-06</w:t>
            </w:r>
          </w:p>
        </w:tc>
        <w:tc>
          <w:tcPr>
            <w:tcW w:type="dxa" w:w="180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Overall Gate</w:t>
            </w:r>
          </w:p>
        </w:tc>
        <w:tc>
          <w:tcPr>
            <w:tcW w:type="dxa" w:w="30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Trigger：规则侧具备形成 Gate 的条件。</w:t>
              <w:br/>
              <w:t>Behavior：按冻结规则输出三种 Gate。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基础不足 → gate_available=false；不新增 Gate=Unknown。</w:t>
            </w:r>
          </w:p>
        </w:tc>
        <w:tc>
          <w:tcPr>
            <w:tcW w:type="dxa" w:w="230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Output：Gate + Reason + Trigger Refs。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FR-07</w:t>
            </w:r>
          </w:p>
        </w:tc>
        <w:tc>
          <w:tcPr>
            <w:tcW w:type="dxa" w:w="180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优先 Next Action</w:t>
            </w:r>
          </w:p>
        </w:tc>
        <w:tc>
          <w:tcPr>
            <w:tcW w:type="dxa" w:w="309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Trigger：存在 Blocker / Unknown / Warning 或已满足关键 Gate。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按固定优先级排序；行动说明前置条件 / 验证目标，不给泛化建议。</w:t>
            </w:r>
          </w:p>
        </w:tc>
        <w:tc>
          <w:tcPr>
            <w:tcW w:type="dxa" w:w="230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Output：Prioritized Actions；PAUSE / CONDITIONAL 至少 1 条。</w:t>
            </w:r>
          </w:p>
        </w:tc>
      </w:tr>
    </w:tbl>
    <w:p>
      <w:pPr>
        <w:spacing w:after="80" w:line="276" w:lineRule="auto"/>
      </w:pPr>
    </w:p>
    <w:p>
      <w:pPr>
        <w:pStyle w:val="4"/>
      </w:pPr>
      <w:r>
        <w:t>5.2 Signal、修正与安全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核心行为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 / 验收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FR-08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Resource Constraint Signal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读取 GPU / VRAM / Disk；时间预算由用户提供。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只输出 Blocked / Warning / Unknown Signal；不做完整资源 Ready 认证或精确训练时长预测。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FR-09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Evaluation Conflict Signal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发现明显数据划分 / 指标 / 聚合 / 论文-代码冲突时提示。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仅 Warning / Unknown；不建设完整 Evaluation Alignment。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FR-10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冲突与去重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一个 Finding 只有一个 Primary Dimension，可关联 Related Dimensions。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同一 Root Cause 不跨维重复；冲突不静默选“更可信”来源。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FR-11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用户反馈 / 修正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用户可 Confirm / Question / Correct / Add Evidence。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事实基础改变时仅重评真实受影响 Finding / Dimension；Confirm 本身不等于重评。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FR-12</w:t>
            </w:r>
          </w:p>
        </w:tc>
        <w:tc>
          <w:tcPr>
            <w:tcW w:type="dxa" w:w="237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安全护栏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当前 MVP 仅支持授权后只读读取。</w:t>
            </w:r>
          </w:p>
        </w:tc>
        <w:tc>
          <w:tcPr>
            <w:tcW w:type="dxa" w:w="352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禁止写入、安装、环境修改、删除 / 覆盖、训练执行、权限绕过、代接受 Terms。</w:t>
            </w:r>
          </w:p>
        </w:tc>
      </w:tr>
    </w:tbl>
    <w:p>
      <w:pPr>
        <w:spacing w:after="80" w:line="276" w:lineRule="auto"/>
      </w:pPr>
    </w:p>
    <w:p>
      <w:pPr>
        <w:pStyle w:val="4"/>
      </w:pPr>
      <w:r>
        <w:t>5.3 Tool / Acquisition 的产品级约束</w:t>
      </w:r>
    </w:p>
    <w:p>
      <w:pPr>
        <w:pStyle w:val="16"/>
        <w:spacing w:after="40"/>
      </w:pPr>
      <w:r>
        <w:t>仅围绕当前未解决 gap 获取“最小必要信息”，不把 PRD扩展为通用 Research Agent。</w:t>
      </w:r>
    </w:p>
    <w:p>
      <w:pPr>
        <w:pStyle w:val="16"/>
        <w:spacing w:after="40"/>
      </w:pPr>
      <w:r>
        <w:t>Environment 只读获取失败 / 未授权时，优先回退 Snapshot / Manual Input；失败状态不直接等于业务 Blocked。</w:t>
      </w:r>
    </w:p>
    <w:p>
      <w:pPr>
        <w:pStyle w:val="16"/>
        <w:spacing w:after="40"/>
      </w:pPr>
      <w:r>
        <w:t>达到配置的最大获取轮次、无可靠下一来源、需要确认 / 授权，或 Evidence 已足够时停止相应获取路径；具体轮次数值仍由 AI Solution / Runtime 后续配置，不在 PRD 硬编码。</w:t>
      </w:r>
    </w:p>
    <w:p>
      <w:pPr>
        <w:pStyle w:val="16"/>
        <w:spacing w:after="40"/>
      </w:pPr>
      <w:r>
        <w:t>停止 Tool Acquisition 只代表停止继续获取；若关键事实仍不足，业务判断按真实依赖保留 Unknown。</w:t>
      </w:r>
    </w:p>
    <w:p>
      <w:pPr>
        <w:pStyle w:val="3"/>
      </w:pPr>
      <w:r>
        <w:t>6. 用户故事与验收摘要</w:t>
      </w:r>
    </w:p>
    <w:p>
      <w:pPr>
        <w:spacing w:after="80" w:line="276" w:lineRule="auto"/>
      </w:pPr>
      <w:r>
        <w:t>为保留与 V0.9 / 下游文件的追溯关系，继续保留 US-01～US-09，但不再重复展开与 FR 相同的细节。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用户故事摘要</w:t>
            </w:r>
          </w:p>
        </w:tc>
        <w:tc>
          <w:tcPr>
            <w:tcW w:type="dxa" w:w="60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关键验收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US-01</w:t>
            </w:r>
          </w:p>
        </w:tc>
        <w:tc>
          <w:tcPr>
            <w:tcW w:type="dxa" w:w="33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以最小必要信息创建 Readiness 任务</w:t>
            </w:r>
          </w:p>
        </w:tc>
        <w:tc>
          <w:tcPr>
            <w:tcW w:type="dxa" w:w="60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≥1 Target Entry 即可创建；环境获取失败可回退；缺失项进入 Unknown。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US-02</w:t>
            </w:r>
          </w:p>
        </w:tc>
        <w:tc>
          <w:tcPr>
            <w:tcW w:type="dxa" w:w="33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第一眼理解总体 Readiness</w:t>
            </w:r>
          </w:p>
        </w:tc>
        <w:tc>
          <w:tcPr>
            <w:tcW w:type="dxa" w:w="60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Gate 仅三种并有主要原因；PAUSE 不表达为永久放弃。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US-03</w:t>
            </w:r>
          </w:p>
        </w:tc>
        <w:tc>
          <w:tcPr>
            <w:tcW w:type="dxa" w:w="33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查看三个核心 Dimension</w:t>
            </w:r>
          </w:p>
        </w:tc>
        <w:tc>
          <w:tcPr>
            <w:tcW w:type="dxa" w:w="60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固定 RD-01 / RD-02 / RD-03；每维仅一个最终 Status，可下钻 Finding / Gate Impact。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US-04</w:t>
            </w:r>
          </w:p>
        </w:tc>
        <w:tc>
          <w:tcPr>
            <w:tcW w:type="dxa" w:w="33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区分风险与 Unknown</w:t>
            </w:r>
          </w:p>
        </w:tc>
        <w:tc>
          <w:tcPr>
            <w:tcW w:type="dxa" w:w="60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Warning=已知非阻塞风险；Unknown=证据不足/冲突；“尚未找到”不直接 Blocked。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US-05</w:t>
            </w:r>
          </w:p>
        </w:tc>
        <w:tc>
          <w:tcPr>
            <w:tcW w:type="dxa" w:w="33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核对 Evidence</w:t>
            </w:r>
          </w:p>
        </w:tc>
        <w:tc>
          <w:tcPr>
            <w:tcW w:type="dxa" w:w="60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关键 Finding 有来源定位或明确无法定位；区分 Fact / Inference / Unknown。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US-06</w:t>
            </w:r>
          </w:p>
        </w:tc>
        <w:tc>
          <w:tcPr>
            <w:tcW w:type="dxa" w:w="33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明确下一步行动</w:t>
            </w:r>
          </w:p>
        </w:tc>
        <w:tc>
          <w:tcPr>
            <w:tcW w:type="dxa" w:w="60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PAUSE / CONDITIONAL 至少 1 条 Action；说明为什么优先。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US-07</w:t>
            </w:r>
          </w:p>
        </w:tc>
        <w:tc>
          <w:tcPr>
            <w:tcW w:type="dxa" w:w="33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理解资源约束</w:t>
            </w:r>
          </w:p>
        </w:tc>
        <w:tc>
          <w:tcPr>
            <w:tcW w:type="dxa" w:w="60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Resource Signal 与 Dimension 分离；不承诺完整资源认证或精确预测。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US-08</w:t>
            </w:r>
          </w:p>
        </w:tc>
        <w:tc>
          <w:tcPr>
            <w:tcW w:type="dxa" w:w="33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处理冲突与修正</w:t>
            </w:r>
          </w:p>
        </w:tc>
        <w:tc>
          <w:tcPr>
            <w:tcW w:type="dxa" w:w="60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关键冲突显式展示；无法判定进入 Unknown；用户可提交修正但不直接写正式结果。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US-09</w:t>
            </w:r>
          </w:p>
        </w:tc>
        <w:tc>
          <w:tcPr>
            <w:tcW w:type="dxa" w:w="338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保留人工控制</w:t>
            </w:r>
          </w:p>
        </w:tc>
        <w:tc>
          <w:tcPr>
            <w:tcW w:type="dxa" w:w="60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7"/>
              </w:rPr>
              <w:t>Confirmation 与 Authorization 分离；只读；最终投入决策由用户完成。</w:t>
            </w:r>
          </w:p>
        </w:tc>
      </w:tr>
    </w:tbl>
    <w:p>
      <w:pPr>
        <w:spacing w:after="80" w:line="276" w:lineRule="auto"/>
      </w:pPr>
    </w:p>
    <w:p>
      <w:pPr>
        <w:pStyle w:val="3"/>
      </w:pPr>
      <w:r>
        <w:t>7. 轻量 NFR、Assumptions 与 Dependencies</w:t>
      </w:r>
    </w:p>
    <w:p>
      <w:pPr>
        <w:pStyle w:val="4"/>
      </w:pPr>
      <w:r>
        <w:t>7.1 Product-level NFR（当前 MVP）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66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当前口径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NFR-01</w:t>
            </w:r>
          </w:p>
        </w:tc>
        <w:tc>
          <w:tcPr>
            <w:tcW w:type="dxa" w:w="252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Traceability</w:t>
            </w:r>
          </w:p>
        </w:tc>
        <w:tc>
          <w:tcPr>
            <w:tcW w:type="dxa" w:w="66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关键判断可追溯到 Evidence Source / Location；无法追溯时不得伪造。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NFR-02</w:t>
            </w:r>
          </w:p>
        </w:tc>
        <w:tc>
          <w:tcPr>
            <w:tcW w:type="dxa" w:w="252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Safety / Permission</w:t>
            </w:r>
          </w:p>
        </w:tc>
        <w:tc>
          <w:tcPr>
            <w:tcW w:type="dxa" w:w="66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读取实际执行环境前需明确授权；当前仅 Read-only。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NFR-03</w:t>
            </w:r>
          </w:p>
        </w:tc>
        <w:tc>
          <w:tcPr>
            <w:tcW w:type="dxa" w:w="252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Failure Isolation</w:t>
            </w:r>
          </w:p>
        </w:tc>
        <w:tc>
          <w:tcPr>
            <w:tcW w:type="dxa" w:w="66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技术/获取失败不直接污染 Readiness Status；支持 Snapshot / Manual Input 降级。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NFR-04</w:t>
            </w:r>
          </w:p>
        </w:tc>
        <w:tc>
          <w:tcPr>
            <w:tcW w:type="dxa" w:w="252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Consistency</w:t>
            </w:r>
          </w:p>
        </w:tc>
        <w:tc>
          <w:tcPr>
            <w:tcW w:type="dxa" w:w="66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Status、Gate、Finding ID 与冲突语义在 PRD / IA / Schema / Figma 保持一致。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NFR-05</w:t>
            </w:r>
          </w:p>
        </w:tc>
        <w:tc>
          <w:tcPr>
            <w:tcW w:type="dxa" w:w="252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Bounded Acquisition</w:t>
            </w:r>
          </w:p>
        </w:tc>
        <w:tc>
          <w:tcPr>
            <w:tcW w:type="dxa" w:w="6624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只获取当前 Condition 的最小必要信息；Evidence 足够或无可靠下一来源时停止。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t>当前 MVP 不定义企业级 SLA、并发、灾备、数据仓库、审计平台等工程指标；这些不是 Concept Test 的必要输入。</w:t>
      </w:r>
    </w:p>
    <w:p>
      <w:pPr>
        <w:pStyle w:val="4"/>
      </w:pPr>
      <w:r>
        <w:t>7.2 Assumptions / Dependencies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Target 可识别</w:t>
            </w:r>
          </w:p>
        </w:tc>
        <w:tc>
          <w:tcPr>
            <w:tcW w:type="dxa" w:w="74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至少存在一个可识别 Target Entry；若关键对象映射有歧义，需要用户确认后再继续该路径。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外部材料可变</w:t>
            </w:r>
          </w:p>
        </w:tc>
        <w:tc>
          <w:tcPr>
            <w:tcW w:type="dxa" w:w="74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Paper / Repository / Checkpoint / Issue 等外部来源可能不可访问或变化；系统必须允许 Partial / Unknown。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Tool 能力受限</w:t>
            </w:r>
          </w:p>
        </w:tc>
        <w:tc>
          <w:tcPr>
            <w:tcW w:type="dxa" w:w="74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只使用当前可用 Tool；不可用时不得虚构结果，可停止获取并保留 Unknown。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环境事实依赖授权</w:t>
            </w:r>
          </w:p>
        </w:tc>
        <w:tc>
          <w:tcPr>
            <w:tcW w:type="dxa" w:w="74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实际环境信息来自授权只读检测、Snapshot 或 Manual Input；未授权本身不等于业务失败。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判断依赖 Evidence 质量</w:t>
            </w:r>
          </w:p>
        </w:tc>
        <w:tc>
          <w:tcPr>
            <w:tcW w:type="dxa" w:w="74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ResearchOps 提供阶段性决策支持，不保证复现一定成功。</w:t>
            </w:r>
          </w:p>
        </w:tc>
      </w:tr>
    </w:tbl>
    <w:p>
      <w:pPr>
        <w:spacing w:after="80" w:line="276" w:lineRule="auto"/>
      </w:pPr>
    </w:p>
    <w:p>
      <w:pPr>
        <w:pStyle w:val="3"/>
      </w:pPr>
      <w:r>
        <w:t>8. 指标与验证计划</w:t>
      </w:r>
    </w:p>
    <w:p>
      <w:pPr>
        <w:pStyle w:val="4"/>
      </w:pPr>
      <w:r>
        <w:t>8.1 Concept Test 指标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9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41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观察方式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任务完成</w:t>
            </w:r>
          </w:p>
        </w:tc>
        <w:tc>
          <w:tcPr>
            <w:tcW w:type="dxa" w:w="741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用户能否说出 Overall Gate + 主要原因 + First Next Action。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Decision Time</w:t>
            </w:r>
          </w:p>
        </w:tc>
        <w:tc>
          <w:tcPr>
            <w:tcW w:type="dxa" w:w="741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记录 task_started → decision_recorded 的时间，仅作当前阶段观察 / 后续对照。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关键问题识别</w:t>
            </w:r>
          </w:p>
        </w:tc>
        <w:tc>
          <w:tcPr>
            <w:tcW w:type="dxa" w:w="741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用户能否指出当前最大 Blocker / Unknown / Warning。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状态理解</w:t>
            </w:r>
          </w:p>
        </w:tc>
        <w:tc>
          <w:tcPr>
            <w:tcW w:type="dxa" w:w="741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用户是否正确理解 Ready / Warning / Blocked / Unknown。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Evidence 行为</w:t>
            </w:r>
          </w:p>
        </w:tc>
        <w:tc>
          <w:tcPr>
            <w:tcW w:type="dxa" w:w="741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是否展开、定位来源、返回原判断并提出确认 / 质疑 / 修正。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First Action 理解</w:t>
            </w:r>
          </w:p>
        </w:tc>
        <w:tc>
          <w:tcPr>
            <w:tcW w:type="dxa" w:w="741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是否能说明第一步是什么以及为什么先做。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输入机制理解</w:t>
            </w:r>
          </w:p>
        </w:tc>
        <w:tc>
          <w:tcPr>
            <w:tcW w:type="dxa" w:w="741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能否区分 Target Confirmation 与 Read-only Authorization。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t>当前只记录 Concept Test 观察值，不用虚构 DAU、转化率、准确率等“上线后指标”。H2 / H3 仍按既有预注册条件在后续受控对照中验证；Sprint 2 小样本不直接宣称产品已更快或更可信。</w:t>
      </w:r>
    </w:p>
    <w:p>
      <w:pPr>
        <w:pStyle w:val="4"/>
      </w:pPr>
      <w:r>
        <w:t>8.2 后续正式验证边界</w:t>
      </w:r>
    </w:p>
    <w:p>
      <w:pPr>
        <w:pStyle w:val="16"/>
        <w:spacing w:after="40"/>
      </w:pPr>
      <w:r>
        <w:t>H2：任务完成率高于自由对话 Baseline，或中位决策时间下降 ≥30%；只有正式受控对照后才能判定。</w:t>
      </w:r>
    </w:p>
    <w:p>
      <w:pPr>
        <w:pStyle w:val="16"/>
        <w:spacing w:after="40"/>
      </w:pPr>
      <w:r>
        <w:t>H3：≥60% 测试用户主动查看 Evidence，且至少 2 名用户基于 Evidence 指出或修正 ≥1 个问题；当前阶段只记录探索性信号。</w:t>
      </w:r>
    </w:p>
    <w:p>
      <w:pPr>
        <w:pStyle w:val="3"/>
      </w:pPr>
      <w:r>
        <w:t>9. AI / Tool / Rule / Human 与安全摘要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65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871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 PRD 中的职责边界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AI</w:t>
            </w:r>
          </w:p>
        </w:tc>
        <w:tc>
          <w:tcPr>
            <w:tcW w:type="dxa" w:w="871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理解 Context、识别 gap、分析 Tool 返回材料、定位 Evidence、形成 / 更新 Finding / Unknown；不直接决定正式 Status / Gate。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Tool</w:t>
            </w:r>
          </w:p>
        </w:tc>
        <w:tc>
          <w:tcPr>
            <w:tcW w:type="dxa" w:w="871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在授权范围内读取 Material 或 Execution Environment；不解释业务含义、不扩大权限。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Rule</w:t>
            </w:r>
          </w:p>
        </w:tc>
        <w:tc>
          <w:tcPr>
            <w:tcW w:type="dxa" w:w="871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根据 Finding / Evidence 计算 Status、Overall Gate 与 Next Action 优先级；不创造事实。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Human</w:t>
            </w:r>
          </w:p>
        </w:tc>
        <w:tc>
          <w:tcPr>
            <w:tcW w:type="dxa" w:w="871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提供 Target / Context、确认歧义、授权、核对 / 纠错 Evidence，并决定是否继续高成本复现。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t>具体 AI Workflow、有限 Tool Loop、Prompt 输出约束与 Case Testing 已由 AI Solution Design / Prompt Design 承接，本 PRD 不重复算法或 Prompt 细节。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8E8"/>
            <w:tcBorders>
              <w:top w:val="nil"/>
              <w:left w:val="single" w:sz="18" w:color="B08421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color w:val="24323F"/>
                <w:sz w:val="20"/>
              </w:rPr>
              <w:t>安全底线</w:t>
            </w:r>
          </w:p>
          <w:p>
            <w:pPr>
              <w:spacing w:after="0" w:line="276" w:lineRule="auto"/>
            </w:pPr>
            <w:r>
              <w:rPr>
                <w:color w:val="24323F"/>
                <w:sz w:val="19"/>
              </w:rPr>
              <w:t>当前 MVP 不提供写入、安装、环境修改、删除 / 覆盖、训练执行、受限数据下载、权限绕过或代接受 License / Terms。Overall Gate 与 Next Action 都是决策支持，不产生执行权限。</w:t>
            </w:r>
          </w:p>
        </w:tc>
      </w:tr>
    </w:tbl>
    <w:p>
      <w:pPr>
        <w:spacing w:after="80" w:line="276" w:lineRule="auto"/>
      </w:pPr>
    </w:p>
    <w:p>
      <w:pPr>
        <w:pStyle w:val="3"/>
      </w:pPr>
      <w:r>
        <w:t>10. 风险、待验证问题与交接</w:t>
      </w:r>
    </w:p>
    <w:p>
      <w:pPr>
        <w:pStyle w:val="4"/>
      </w:pPr>
      <w:r>
        <w:t>10.1 主要风险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失败方式</w:t>
            </w:r>
          </w:p>
        </w:tc>
        <w:tc>
          <w:tcPr>
            <w:tcW w:type="dxa" w:w="42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163A5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缓解 / 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状态语义混淆</w:t>
            </w:r>
          </w:p>
        </w:tc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Unknown 被当成 Blocked；Ready 被理解为保证成功</w:t>
            </w:r>
          </w:p>
        </w:tc>
        <w:tc>
          <w:tcPr>
            <w:tcW w:type="dxa" w:w="42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短语义说明 + Concept Test 复述。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Evidence 信息过载</w:t>
            </w:r>
          </w:p>
        </w:tc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证据淹没主判断</w:t>
            </w:r>
          </w:p>
        </w:tc>
        <w:tc>
          <w:tcPr>
            <w:tcW w:type="dxa" w:w="42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Summary 优先，Evidence 渐进展开。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虚假精确感</w:t>
            </w:r>
          </w:p>
        </w:tc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Resource Signal 被误解为精确资源预测</w:t>
            </w:r>
          </w:p>
        </w:tc>
        <w:tc>
          <w:tcPr>
            <w:tcW w:type="dxa" w:w="42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明确 P04-light 边界。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自动关联错误</w:t>
            </w:r>
          </w:p>
        </w:tc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关联错误 Target / Source 或错误执行环境</w:t>
            </w:r>
          </w:p>
        </w:tc>
        <w:tc>
          <w:tcPr>
            <w:tcW w:type="dxa" w:w="42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  <w:shd w:fill="F8FA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显式展示来源；Confirmation 与 Authorization 分离。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技术失败污染业务状态</w:t>
            </w:r>
          </w:p>
        </w:tc>
        <w:tc>
          <w:tcPr>
            <w:tcW w:type="dxa" w:w="388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Acquisition Failure 被直接判 Blocked</w:t>
            </w:r>
          </w:p>
        </w:tc>
        <w:tc>
          <w:tcPr>
            <w:tcW w:type="dxa" w:w="4248"/>
            <w:vAlign w:val="center"/>
            <w:tcBorders>
              <w:top w:val="single" w:sz="5" w:color="CAD6DF"/>
              <w:left w:val="single" w:sz="5" w:color="CAD6DF"/>
              <w:bottom w:val="single" w:sz="5" w:color="CAD6DF"/>
              <w:right w:val="single" w:sz="5" w:color="CAD6DF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24323F"/>
                <w:sz w:val="18"/>
              </w:rPr>
              <w:t>获取状态与 Readiness Status 分层。</w:t>
            </w:r>
          </w:p>
        </w:tc>
      </w:tr>
    </w:tbl>
    <w:p>
      <w:pPr>
        <w:spacing w:after="80" w:line="276" w:lineRule="auto"/>
      </w:pPr>
    </w:p>
    <w:p>
      <w:pPr>
        <w:pStyle w:val="4"/>
      </w:pPr>
      <w:r>
        <w:t>10.2 Concept Test Open Questions</w:t>
      </w:r>
    </w:p>
    <w:p>
      <w:pPr>
        <w:pStyle w:val="14"/>
        <w:spacing w:after="40"/>
      </w:pPr>
      <w:r>
        <w:t>用户能否快速理解 Gate、三个 Dimension 与当前最重要问题？</w:t>
      </w:r>
    </w:p>
    <w:p>
      <w:pPr>
        <w:pStyle w:val="14"/>
        <w:spacing w:after="40"/>
      </w:pPr>
      <w:r>
        <w:t>用户能否区分 Warning / Unknown，以及业务 Status 与 Processing / Acquisition Failure？</w:t>
      </w:r>
    </w:p>
    <w:p>
      <w:pPr>
        <w:pStyle w:val="14"/>
        <w:spacing w:after="40"/>
      </w:pPr>
      <w:r>
        <w:t>Evidence-linked Findings 是否真正被查看并用于核对，而不是增加信息负担？</w:t>
      </w:r>
    </w:p>
    <w:p>
      <w:pPr>
        <w:pStyle w:val="14"/>
        <w:spacing w:after="40"/>
      </w:pPr>
      <w:r>
        <w:t>Target Confirmation 与 Read-only Authorization 是否能被正确区分？</w:t>
      </w:r>
    </w:p>
    <w:p>
      <w:pPr>
        <w:pStyle w:val="14"/>
        <w:spacing w:after="40"/>
      </w:pPr>
      <w:r>
        <w:t>用户能否说出 First Next Action 以及为什么先做？</w:t>
      </w:r>
    </w:p>
    <w:p>
      <w:pPr>
        <w:pStyle w:val="14"/>
        <w:spacing w:after="40"/>
      </w:pPr>
      <w:r>
        <w:t>Resource Constraint Signal 是否会被误解为完整资源预测？</w:t>
      </w:r>
    </w:p>
    <w:p>
      <w:pPr>
        <w:pStyle w:val="4"/>
      </w:pPr>
      <w:r>
        <w:t>10.3 下游兼容与交接</w:t>
      </w:r>
    </w:p>
    <w:p>
      <w:pPr>
        <w:spacing w:after="80" w:line="276" w:lineRule="auto"/>
      </w:pPr>
      <w:r>
        <w:t>本次 V1.0 只重构 PRD 表达与补充产品级行为，不改变三维、四状态、三 Gate、Signal 边界、Confirmation / Authorization 分离与只读安全边界。因此现有下游文档不需要因本次精简而重写；后续若新增核心 Dimension、改变 Gate 规则或扩大写入 / 执行权限，才需要建立新版本变更记录并同步下游。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1F8F4"/>
            <w:tcBorders>
              <w:top w:val="nil"/>
              <w:left w:val="single" w:sz="18" w:color="2E7D5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  <w:color w:val="24323F"/>
                <w:sz w:val="20"/>
              </w:rPr>
              <w:t>PRD V1.0 最终状态</w:t>
            </w:r>
          </w:p>
          <w:p>
            <w:pPr>
              <w:spacing w:after="0" w:line="276" w:lineRule="auto"/>
            </w:pPr>
            <w:r>
              <w:rPr>
                <w:color w:val="24323F"/>
                <w:sz w:val="19"/>
              </w:rPr>
              <w:t>精简修订完成。主文档聚焦产品问题、范围、规则、功能行为与验收；字段、页面、事件、安全与 AI / Prompt 细节继续由既有下游文档承接。</w:t>
            </w:r>
          </w:p>
        </w:tc>
      </w:tr>
    </w:tbl>
    <w:p>
      <w:pPr>
        <w:spacing w:after="80" w:line="276" w:lineRule="auto"/>
      </w:pPr>
    </w:p>
    <w:sectPr>
      <w:headerReference r:id="rId5" w:type="default"/>
      <w:footerReference r:id="rId6" w:type="default"/>
      <w:pgSz w:w="12240" w:h="15840"/>
      <w:pgMar w:top="1037" w:right="1123" w:bottom="1008" w:left="1123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9F877">
    <w:pPr>
      <w:pStyle w:val="24"/>
      <w:spacing w:before="0" w:after="0" w:line="240" w:lineRule="auto"/>
      <w:jc w:val="center"/>
    </w:pPr>
    <w:r>
      <w:t>ResearchOps · 产品需求文档   |   PRD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76527">
    <w:pPr>
      <w:pStyle w:val="25"/>
      <w:spacing w:before="0" w:after="0" w:line="240" w:lineRule="auto"/>
      <w:jc w:val="right"/>
    </w:pPr>
    <w:r>
      <w:t>ResearchOps  /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multi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E3682"/>
    <w:rsid w:val="0E1A2525"/>
    <w:rsid w:val="127B7751"/>
    <w:rsid w:val="18B21538"/>
    <w:rsid w:val="1AFA0F74"/>
    <w:rsid w:val="1E2D469C"/>
    <w:rsid w:val="22941F9C"/>
    <w:rsid w:val="257531D2"/>
    <w:rsid w:val="40B530C4"/>
    <w:rsid w:val="5CE67581"/>
    <w:rsid w:val="628D1D98"/>
    <w:rsid w:val="73E810FE"/>
    <w:rsid w:val="7BE7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spacing w:before="0" w:after="120" w:line="300" w:lineRule="auto"/>
      <w:jc w:val="left"/>
    </w:pPr>
    <w:rPr>
      <w:rFonts w:ascii="Noto Sans CJK SC" w:hAnsi="Noto Sans CJK SC" w:eastAsia="Noto Sans CJK SC" w:cstheme="minorBidi"/>
      <w:color w:val="24323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 w:val="0"/>
      <w:keepLines w:val="0"/>
      <w:pageBreakBefore w:val="0"/>
      <w:spacing w:before="280" w:after="160" w:line="240" w:lineRule="auto"/>
      <w:outlineLvl w:val="0"/>
    </w:pPr>
    <w:rPr>
      <w:rFonts w:asciiTheme="majorHAnsi" w:hAnsiTheme="majorHAnsi" w:eastAsiaTheme="majorEastAsia" w:cstheme="majorBidi"/>
      <w:b/>
      <w:bCs/>
      <w:color w:val="163A5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 w:val="0"/>
      <w:keepLines w:val="0"/>
      <w:pageBreakBefore w:val="0"/>
      <w:spacing w:before="200" w:after="100" w:line="240" w:lineRule="auto"/>
      <w:outlineLvl w:val="1"/>
    </w:pPr>
    <w:rPr>
      <w:rFonts w:asciiTheme="majorHAnsi" w:hAnsiTheme="majorHAnsi" w:eastAsiaTheme="majorEastAsia" w:cstheme="majorBidi"/>
      <w:b/>
      <w:bCs/>
      <w:color w:val="2F6B9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 w:val="0"/>
      <w:keepLines w:val="0"/>
      <w:pageBreakBefore w:val="0"/>
      <w:spacing w:before="160" w:after="80" w:line="252" w:lineRule="auto"/>
      <w:outlineLvl w:val="2"/>
    </w:pPr>
    <w:rPr>
      <w:rFonts w:asciiTheme="majorHAnsi" w:hAnsiTheme="majorHAnsi" w:eastAsiaTheme="majorEastAsia" w:cstheme="majorBidi"/>
      <w:b/>
      <w:bCs/>
      <w:color w:val="2F6B9A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Noto Sans CJK SC" w:hAnsi="Noto Sans CJK SC" w:eastAsia="Noto Sans CJK SC" w:cs="Noto Sans CJK SC"/>
    </w:rPr>
  </w:style>
  <w:style w:type="table" w:default="1" w:styleId="32">
    <w:name w:val="Normal Table"/>
    <w:semiHidden/>
    <w:unhideWhenUsed/>
    <w:qFormat/>
    <w:uiPriority w:val="99"/>
    <w:rPr>
      <w:rFonts w:ascii="Noto Sans CJK SC" w:hAnsi="Noto Sans CJK SC" w:eastAsia="Noto Sans CJK SC" w:cs="Noto Sans CJK SC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Noto Sans CJK SC" w:hAnsi="Noto Sans CJK SC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Noto Sans CJK SC" w:hAnsi="Noto Sans CJK SC" w:eastAsia="Noto Sans CJK SC" w:cs="Noto Sans CJK SC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Noto Sans CJK SC" w:hAnsi="Noto Sans CJK SC" w:eastAsia="Noto Sans CJK SC" w:cs="Noto Sans CJK SC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24">
    <w:name w:val="footer"/>
    <w:basedOn w:val="1"/>
    <w:link w:val="136"/>
    <w:unhideWhenUsed/>
    <w:uiPriority w:val="99"/>
    <w:pPr>
      <w:keepNext w:val="0"/>
      <w:keepLines w:val="0"/>
      <w:pageBreakBefore w:val="0"/>
      <w:tabs>
        <w:tab w:val="center" w:pos="4680"/>
        <w:tab w:val="right" w:pos="9360"/>
      </w:tabs>
      <w:spacing w:before="0" w:after="0" w:line="240" w:lineRule="auto"/>
    </w:pPr>
    <w:rPr>
      <w:rFonts w:ascii="Noto Sans CJK SC" w:hAnsi="Noto Sans CJK SC" w:eastAsia="Noto Sans CJK SC" w:cs="Noto Sans CJK SC"/>
      <w:color w:val="64748B"/>
      <w:sz w:val="17"/>
    </w:rPr>
  </w:style>
  <w:style w:type="paragraph" w:styleId="25">
    <w:name w:val="header"/>
    <w:basedOn w:val="1"/>
    <w:link w:val="135"/>
    <w:unhideWhenUsed/>
    <w:uiPriority w:val="99"/>
    <w:pPr>
      <w:keepNext w:val="0"/>
      <w:keepLines w:val="0"/>
      <w:pageBreakBefore w:val="0"/>
      <w:tabs>
        <w:tab w:val="center" w:pos="4680"/>
        <w:tab w:val="right" w:pos="9360"/>
      </w:tabs>
      <w:spacing w:before="0" w:after="0" w:line="240" w:lineRule="auto"/>
    </w:pPr>
    <w:rPr>
      <w:rFonts w:ascii="Noto Sans CJK SC" w:hAnsi="Noto Sans CJK SC" w:eastAsia="Noto Sans CJK SC" w:cs="Noto Sans CJK SC"/>
      <w:color w:val="64748B"/>
      <w:sz w:val="17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Noto Sans CJK SC" w:hAnsi="Noto Sans CJK SC" w:eastAsia="Noto Sans CJK SC" w:cs="Noto Sans CJK SC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31">
    <w:name w:val="Title"/>
    <w:basedOn w:val="1"/>
    <w:next w:val="1"/>
    <w:link w:val="141"/>
    <w:qFormat/>
    <w:uiPriority w:val="10"/>
    <w:pPr>
      <w:keepNext w:val="0"/>
      <w:keepLines w:val="0"/>
      <w:pageBreakBefore w:val="0"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63A5F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Noto Sans CJK SC" w:hAnsi="Noto Sans CJK SC" w:eastAsia="Noto Sans CJK SC" w:cs="Noto Sans CJK SC"/>
      <w:b/>
      <w:bCs/>
    </w:rPr>
  </w:style>
  <w:style w:type="character" w:styleId="134">
    <w:name w:val="Emphasis"/>
    <w:basedOn w:val="132"/>
    <w:qFormat/>
    <w:uiPriority w:val="20"/>
    <w:rPr>
      <w:rFonts w:ascii="Noto Sans CJK SC" w:hAnsi="Noto Sans CJK SC" w:eastAsia="Noto Sans CJK SC" w:cs="Noto Sans CJK SC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Noto Sans CJK SC" w:hAnsi="Noto Sans CJK SC" w:eastAsia="Noto Sans CJK SC" w:cs="Noto Sans CJK SC"/>
    </w:rPr>
  </w:style>
  <w:style w:type="character" w:customStyle="1" w:styleId="136">
    <w:name w:val="Footer Char"/>
    <w:basedOn w:val="132"/>
    <w:link w:val="24"/>
    <w:uiPriority w:val="99"/>
    <w:rPr>
      <w:rFonts w:ascii="Noto Sans CJK SC" w:hAnsi="Noto Sans CJK SC" w:eastAsia="Noto Sans CJK SC" w:cs="Noto Sans CJK SC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Noto Sans CJK SC" w:hAnsi="Noto Sans CJK SC" w:eastAsia="Noto Sans CJK SC" w:cs="Noto Sans CJK SC"/>
    </w:rPr>
  </w:style>
  <w:style w:type="character" w:customStyle="1" w:styleId="144">
    <w:name w:val="Body Text Char"/>
    <w:basedOn w:val="132"/>
    <w:link w:val="19"/>
    <w:uiPriority w:val="99"/>
    <w:rPr>
      <w:rFonts w:ascii="Noto Sans CJK SC" w:hAnsi="Noto Sans CJK SC" w:eastAsia="Noto Sans CJK SC" w:cs="Noto Sans CJK SC"/>
    </w:rPr>
  </w:style>
  <w:style w:type="character" w:customStyle="1" w:styleId="145">
    <w:name w:val="Body Text 2 Char"/>
    <w:basedOn w:val="132"/>
    <w:link w:val="28"/>
    <w:uiPriority w:val="99"/>
    <w:rPr>
      <w:rFonts w:ascii="Noto Sans CJK SC" w:hAnsi="Noto Sans CJK SC" w:eastAsia="Noto Sans CJK SC" w:cs="Noto Sans CJK SC"/>
    </w:rPr>
  </w:style>
  <w:style w:type="character" w:customStyle="1" w:styleId="146">
    <w:name w:val="Body Text 3 Char"/>
    <w:basedOn w:val="132"/>
    <w:link w:val="17"/>
    <w:uiPriority w:val="99"/>
    <w:rPr>
      <w:rFonts w:ascii="Noto Sans CJK SC" w:hAnsi="Noto Sans CJK SC" w:eastAsia="Noto Sans CJK SC" w:cs="Noto Sans CJK SC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Noto Sans CJK SC" w:hAnsi="Noto Sans CJK SC" w:eastAsia="Noto Sans CJK SC" w:cs="Noto Sans CJK SC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Noto Sans CJK SC" w:hAnsi="Noto Sans CJK SC" w:eastAsia="Noto Sans CJK SC" w:cs="Noto Sans CJK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Noto Sans CJK SC" w:hAnsi="Noto Sans CJK SC" w:eastAsia="Noto Sans CJK SC" w:cs="Noto Sans CJK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Noto Sans CJK SC" w:hAnsi="Noto Sans CJK SC" w:eastAsia="Noto Sans CJK SC" w:cs="Noto Sans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Noto Sans CJK SC" w:hAnsi="Noto Sans CJK SC" w:eastAsia="Noto Sans CJK SC" w:cs="Noto Sans CJK SC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Noto Sans CJK SC" w:hAnsi="Noto Sans CJK SC" w:eastAsia="Noto Sans CJK SC" w:cs="Noto Sans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Noto Sans CJK SC" w:hAnsi="Noto Sans CJK SC" w:eastAsia="Noto Sans CJK SC" w:cs="Noto Sans CJK SC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Noto Sans CJK SC" w:hAnsi="Noto Sans CJK SC" w:eastAsia="Noto Sans CJK SC" w:cs="Noto Sans CJK SC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Noto Sans CJK SC" w:hAnsi="Noto Sans CJK SC" w:eastAsia="Noto Sans CJK SC" w:cs="Noto Sans CJK SC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705</Words>
  <Characters>1619</Characters>
  <Lines>0</Lines>
  <Paragraphs>0</Paragraphs>
  <TotalTime>647</TotalTime>
  <ScaleCrop>false</ScaleCrop>
  <LinksUpToDate>false</LinksUpToDate>
  <CharactersWithSpaces>1830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ResearchOps, Sprint 2, PRD</cp:keywords>
  <cp:lastModifiedBy/>
  <dcterms:modified xsi:type="dcterms:W3CDTF">2026-09-02T10:56:46Z</dcterms:modified>
  <dc:subject>Reproduction Readiness Assessment Product Requirements Document</dc:subject>
  <dc:title>ResearchOps PRD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eyJoZGlkIjoiMGI2MDkyM2RmNzA1ZDBiY2NhZDA1MzlkMWFlMjNiMWQiLCJ1c2VySWQiOiIxNzcyNDgwODg3In0=</vt:lpwstr>
  </property>
  <property fmtid="{D5CDD505-2E9C-101B-9397-08002B2CF9AE}" pid="3" name="KSOProductBuildVer">
    <vt:lpwstr>2052-12.1.0.28043</vt:lpwstr>
  </property>
  <property fmtid="{D5CDD505-2E9C-101B-9397-08002B2CF9AE}" pid="4" name="ICV">
    <vt:lpwstr>E16438E9F81F4DF4912C7889201A1E57_12</vt:lpwstr>
  </property>
</Properties>
</file>