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3864"/>
          <w:sz w:val="32"/>
          <w:szCs w:val="32"/>
        </w:rPr>
        <w:t xml:space="preserve">EPL448 – Data Science and Machine Learning</w:t>
      </w:r>
    </w:p>
    <w:p>
      <w:pPr>
        <w:spacing w:after="200"/>
        <w:jc w:val="center"/>
      </w:pPr>
      <w:r>
        <w:rPr>
          <w:rFonts w:ascii="Arial" w:cs="Arial" w:eastAsia="Arial" w:hAnsi="Arial"/>
          <w:b/>
          <w:bCs/>
          <w:color w:val="2C5F8A"/>
          <w:sz w:val="28"/>
          <w:szCs w:val="28"/>
        </w:rPr>
        <w:t xml:space="preserve">Deliverable 2: Exploratory Data Analysis &amp; Preprocessing</w:t>
      </w:r>
    </w:p>
    <w:p>
      <w:pPr>
        <w:spacing w:after="600"/>
        <w:jc w:val="center"/>
      </w:pPr>
      <w:r>
        <w:rPr>
          <w:rFonts w:ascii="Arial" w:cs="Arial" w:eastAsia="Arial" w:hAnsi="Arial"/>
          <w:i/>
          <w:iCs/>
          <w:color w:val="444444"/>
          <w:sz w:val="24"/>
          <w:szCs w:val="24"/>
        </w:rPr>
        <w:t xml:space="preserve">CERN Electron Collision Dataset</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Team</w:t>
            </w:r>
          </w:p>
        </w:tc>
        <w:tc>
          <w:tcPr>
            <w:tcW w:type="dxa" w:w="4000"/>
            <w:tcBorders>
              <w:top w:val="single" w:color="CCCCCC" w:sz="1"/>
              <w:left w:val="single" w:color="CCCCCC" w:sz="1"/>
              <w:bottom w:val="single" w:color="CCCCCC" w:sz="1"/>
              <w:right w:val="single" w:color="CCCCCC" w:sz="1"/>
            </w:tcBorders>
            <w:shd w:fill="EEF3F8" w:val="clear"/>
            <w:tcMar>
              <w:top w:type="dxa" w:w="100"/>
              <w:left w:type="dxa" w:w="150"/>
              <w:bottom w:type="dxa" w:w="100"/>
              <w:right w:type="dxa" w:w="150"/>
            </w:tcMar>
          </w:tcPr>
          <w:p>
            <w:r>
              <w:rPr>
                <w:rFonts w:ascii="Arial" w:cs="Arial" w:eastAsia="Arial" w:hAnsi="Arial"/>
                <w:sz w:val="22"/>
                <w:szCs w:val="22"/>
              </w:rPr>
              <w:t xml:space="preserve">Team 2 – CERN Electron Collision</w:t>
            </w:r>
          </w:p>
        </w:tc>
      </w:tr>
      <w:tr>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Members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Varnavas Tryfonos</w:t>
            </w:r>
          </w:p>
          <w:p>
            <w:r>
              <w:rPr>
                <w:rFonts w:ascii="Arial" w:cs="Arial" w:eastAsia="Arial" w:hAnsi="Arial"/>
                <w:sz w:val="22"/>
                <w:szCs w:val="22"/>
              </w:rPr>
              <w:t xml:space="preserve">Thrasos Sazeidis</w:t>
            </w:r>
          </w:p>
          <w:p>
            <w:r>
              <w:rPr>
                <w:rFonts w:ascii="Arial" w:cs="Arial" w:eastAsia="Arial" w:hAnsi="Arial"/>
                <w:sz w:val="22"/>
                <w:szCs w:val="22"/>
              </w:rPr>
              <w:t xml:space="preserve">Andreas Evagorou</w:t>
            </w:r>
          </w:p>
        </w:tc>
      </w:tr>
      <w:tr>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Dataset</w:t>
            </w:r>
          </w:p>
        </w:tc>
        <w:tc>
          <w:tcPr>
            <w:tcBorders>
              <w:top w:val="single" w:color="CCCCCC" w:sz="1"/>
              <w:left w:val="single" w:color="CCCCCC" w:sz="1"/>
              <w:bottom w:val="single" w:color="CCCCCC" w:sz="1"/>
              <w:right w:val="single" w:color="CCCCCC" w:sz="1"/>
            </w:tcBorders>
            <w:shd w:fill="EEF3F8" w:val="clear"/>
            <w:tcMar>
              <w:top w:type="dxa" w:w="100"/>
              <w:left w:type="dxa" w:w="150"/>
              <w:bottom w:type="dxa" w:w="100"/>
              <w:right w:type="dxa" w:w="150"/>
            </w:tcMar>
          </w:tcPr>
          <w:p>
            <w:r>
              <w:rPr>
                <w:rFonts w:ascii="Arial" w:cs="Arial" w:eastAsia="Arial" w:hAnsi="Arial"/>
                <w:sz w:val="22"/>
                <w:szCs w:val="22"/>
              </w:rPr>
              <w:t xml:space="preserve">CERN Open Data – 100,000 dielectron events</w:t>
            </w:r>
          </w:p>
        </w:tc>
      </w:tr>
    </w:tbl>
    <w:p>
      <w:r>
        <w:br w:type="page"/>
      </w:r>
    </w:p>
    <w:p>
      <w:pPr>
        <w:pStyle w:val="Heading1"/>
      </w:pPr>
      <w:r>
        <w:rPr>
          <w:rFonts w:ascii="Arial" w:cs="Arial" w:eastAsia="Arial" w:hAnsi="Arial"/>
          <w:b/>
          <w:bCs/>
          <w:sz w:val="32"/>
          <w:szCs w:val="32"/>
        </w:rPr>
        <w:t xml:space="preserve">2. Data Understanding</w:t>
      </w:r>
    </w:p>
    <w:p>
      <w:pPr>
        <w:pStyle w:val="Heading2"/>
      </w:pPr>
      <w:r>
        <w:rPr>
          <w:rFonts w:ascii="Arial" w:cs="Arial" w:eastAsia="Arial" w:hAnsi="Arial"/>
          <w:b/>
          <w:bCs/>
          <w:sz w:val="26"/>
          <w:szCs w:val="26"/>
        </w:rPr>
        <w:t xml:space="preserve">2.1 Dataset Shape</w:t>
      </w:r>
    </w:p>
    <w:p>
      <w:pPr>
        <w:spacing w:after="120"/>
      </w:pPr>
      <w:r>
        <w:rPr>
          <w:rFonts w:ascii="Arial" w:cs="Arial" w:eastAsia="Arial" w:hAnsi="Arial"/>
          <w:sz w:val="22"/>
          <w:szCs w:val="22"/>
        </w:rPr>
        <w:t xml:space="preserve">The CERN Electron Collision Dataset comprises </w:t>
      </w:r>
      <w:r>
        <w:rPr>
          <w:rFonts w:ascii="Arial" w:cs="Arial" w:eastAsia="Arial" w:hAnsi="Arial"/>
          <w:b/>
          <w:bCs/>
          <w:sz w:val="22"/>
          <w:szCs w:val="22"/>
        </w:rPr>
        <w:t xml:space="preserve">100,000 rows and 19 columns</w:t>
      </w:r>
      <w:r>
        <w:rPr>
          <w:rFonts w:ascii="Arial" w:cs="Arial" w:eastAsia="Arial" w:hAnsi="Arial"/>
          <w:sz w:val="22"/>
          <w:szCs w:val="22"/>
        </w:rPr>
        <w:t xml:space="preserve"> (18 feature columns + 1 target column). Each row represents a single dielectron collision event recorded by the CMS detector at the LHC during Run 2010B.</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312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312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 rows (events)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Dielectron collision events</w:t>
            </w:r>
          </w:p>
        </w:tc>
      </w:tr>
      <w:tr>
        <w:tc>
          <w:tcPr>
            <w:tcW w:type="dxa" w:w="31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left"/>
            </w:pPr>
            <w:r>
              <w:rPr>
                <w:rFonts w:ascii="Arial" w:cs="Arial" w:eastAsia="Arial" w:hAnsi="Arial"/>
                <w:sz w:val="20"/>
                <w:szCs w:val="20"/>
              </w:rPr>
              <w:t xml:space="preserve">Total columns</w:t>
            </w:r>
          </w:p>
        </w:tc>
        <w:tc>
          <w:tcPr>
            <w:tcW w:type="dxa" w:w="31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19</w:t>
            </w:r>
          </w:p>
        </w:tc>
        <w:tc>
          <w:tcPr>
            <w:tcW w:type="dxa" w:w="31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18 features + 1 target (M)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Numerical features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Continuous floats</w:t>
            </w:r>
          </w:p>
        </w:tc>
      </w:tr>
      <w:tr>
        <w:tc>
          <w:tcPr>
            <w:tcW w:type="dxa" w:w="31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left"/>
            </w:pPr>
            <w:r>
              <w:rPr>
                <w:rFonts w:ascii="Arial" w:cs="Arial" w:eastAsia="Arial" w:hAnsi="Arial"/>
                <w:sz w:val="20"/>
                <w:szCs w:val="20"/>
              </w:rPr>
              <w:t xml:space="preserve">Categorical / integer features</w:t>
            </w:r>
          </w:p>
        </w:tc>
        <w:tc>
          <w:tcPr>
            <w:tcW w:type="dxa" w:w="31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Q1, Q2 (electric charge: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ID columns (to drop)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Run, Event – not predictive</w:t>
            </w:r>
          </w:p>
        </w:tc>
      </w:tr>
      <w:tr>
        <w:tc>
          <w:tcPr>
            <w:tcW w:type="dxa" w:w="31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left"/>
            </w:pPr>
            <w:r>
              <w:rPr>
                <w:rFonts w:ascii="Arial" w:cs="Arial" w:eastAsia="Arial" w:hAnsi="Arial"/>
                <w:sz w:val="20"/>
                <w:szCs w:val="20"/>
              </w:rPr>
              <w:t xml:space="preserve">Target variable</w:t>
            </w:r>
          </w:p>
        </w:tc>
        <w:tc>
          <w:tcPr>
            <w:tcW w:type="dxa" w:w="31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M (GeV)</w:t>
            </w:r>
          </w:p>
        </w:tc>
        <w:tc>
          <w:tcPr>
            <w:tcW w:type="dxa" w:w="31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Invariant mass – regression target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Missing values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Complete dataset, no NaNs</w:t>
            </w:r>
          </w:p>
        </w:tc>
      </w:tr>
    </w:tbl>
    <w:p>
      <w:pPr>
        <w:spacing w:after="200"/>
        <w:jc w:val="center"/>
      </w:pPr>
      <w:r>
        <w:rPr>
          <w:rFonts w:ascii="Arial" w:cs="Arial" w:eastAsia="Arial" w:hAnsi="Arial"/>
          <w:i/>
          <w:iCs/>
          <w:color w:val="555555"/>
          <w:sz w:val="20"/>
          <w:szCs w:val="20"/>
        </w:rPr>
        <w:t xml:space="preserve">Table 2.1: Dataset shape and composition summary</w:t>
      </w:r>
    </w:p>
    <w:p>
      <w:pPr>
        <w:spacing w:after="80"/>
      </w:pPr>
      <w:r>
        <w:t xml:space="preserve"/>
      </w:r>
    </w:p>
    <w:p>
      <w:pPr>
        <w:pStyle w:val="Heading2"/>
      </w:pPr>
      <w:r>
        <w:rPr>
          <w:rFonts w:ascii="Arial" w:cs="Arial" w:eastAsia="Arial" w:hAnsi="Arial"/>
          <w:b/>
          <w:bCs/>
          <w:sz w:val="26"/>
          <w:szCs w:val="26"/>
        </w:rPr>
        <w:t xml:space="preserve">2.2 Feature Preview &amp; Types</w:t>
      </w:r>
    </w:p>
    <w:p>
      <w:pPr>
        <w:spacing w:after="120"/>
      </w:pPr>
      <w:r>
        <w:rPr>
          <w:rFonts w:ascii="Arial" w:cs="Arial" w:eastAsia="Arial" w:hAnsi="Arial"/>
          <w:sz w:val="22"/>
          <w:szCs w:val="22"/>
        </w:rPr>
        <w:t xml:space="preserve">The table below lists all features with their data type and physical meaning. The two identifier columns (Run, Event) will be dropped before modelling as they carry no physical predictive value.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200"/>
        <w:gridCol w:w="5060"/>
      </w:tblGrid>
      <w:tr>
        <w:trPr>
          <w:tblHeader/>
        </w:trPr>
        <w:tc>
          <w:tcPr>
            <w:tcW w:type="dxa" w:w="130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180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20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w:t>
            </w:r>
          </w:p>
        </w:tc>
        <w:tc>
          <w:tcPr>
            <w:tcW w:type="dxa" w:w="506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Physical Description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Run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Integer (ID)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CMS run number – identifier, dropped pre-modelling</w:t>
            </w:r>
          </w:p>
        </w:tc>
      </w:tr>
      <w:tr>
        <w:tc>
          <w:tcPr>
            <w:tcW w:type="dxa" w:w="13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left"/>
            </w:pPr>
            <w:r>
              <w:rPr>
                <w:rFonts w:ascii="Arial" w:cs="Arial" w:eastAsia="Arial" w:hAnsi="Arial"/>
                <w:sz w:val="20"/>
                <w:szCs w:val="20"/>
              </w:rPr>
              <w:t xml:space="preserve">Event</w:t>
            </w:r>
          </w:p>
        </w:tc>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Integer (ID)</w:t>
            </w:r>
          </w:p>
        </w:tc>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50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CMS event number – identifier, dropped pre-modelling</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E1, 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GeV</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Total energy of electron 1 and electron 2</w:t>
            </w:r>
          </w:p>
        </w:tc>
      </w:tr>
      <w:tr>
        <w:tc>
          <w:tcPr>
            <w:tcW w:type="dxa" w:w="13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left"/>
            </w:pPr>
            <w:r>
              <w:rPr>
                <w:rFonts w:ascii="Arial" w:cs="Arial" w:eastAsia="Arial" w:hAnsi="Arial"/>
                <w:sz w:val="20"/>
                <w:szCs w:val="20"/>
              </w:rPr>
              <w:t xml:space="preserve">px1, px2</w:t>
            </w:r>
          </w:p>
        </w:tc>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Float</w:t>
            </w:r>
          </w:p>
        </w:tc>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GeV/c</w:t>
            </w:r>
          </w:p>
        </w:tc>
        <w:tc>
          <w:tcPr>
            <w:tcW w:type="dxa" w:w="50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x-component of momentum for each electron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py1, py2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GeV/c</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y-component of momentum for each electron</w:t>
            </w:r>
          </w:p>
        </w:tc>
      </w:tr>
      <w:tr>
        <w:tc>
          <w:tcPr>
            <w:tcW w:type="dxa" w:w="13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left"/>
            </w:pPr>
            <w:r>
              <w:rPr>
                <w:rFonts w:ascii="Arial" w:cs="Arial" w:eastAsia="Arial" w:hAnsi="Arial"/>
                <w:sz w:val="20"/>
                <w:szCs w:val="20"/>
              </w:rPr>
              <w:t xml:space="preserve">pz1, pz2</w:t>
            </w:r>
          </w:p>
        </w:tc>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Float</w:t>
            </w:r>
          </w:p>
        </w:tc>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GeV/c</w:t>
            </w:r>
          </w:p>
        </w:tc>
        <w:tc>
          <w:tcPr>
            <w:tcW w:type="dxa" w:w="50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z-component of momentum (beam axis)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pt1, pt2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GeV/c</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Transverse momentum (perpendicular to beam)</w:t>
            </w:r>
          </w:p>
        </w:tc>
      </w:tr>
      <w:tr>
        <w:tc>
          <w:tcPr>
            <w:tcW w:type="dxa" w:w="13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left"/>
            </w:pPr>
            <w:r>
              <w:rPr>
                <w:rFonts w:ascii="Arial" w:cs="Arial" w:eastAsia="Arial" w:hAnsi="Arial"/>
                <w:sz w:val="20"/>
                <w:szCs w:val="20"/>
              </w:rPr>
              <w:t xml:space="preserve">eta1, eta2</w:t>
            </w:r>
          </w:p>
        </w:tc>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Float</w:t>
            </w:r>
          </w:p>
        </w:tc>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50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Pseudorapidity – angular position, |eta| &lt; 2.5</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phi1, phi2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rad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Azimuthal angle in transverse plane [-pi, +pi]</w:t>
            </w:r>
          </w:p>
        </w:tc>
      </w:tr>
      <w:tr>
        <w:tc>
          <w:tcPr>
            <w:tcW w:type="dxa" w:w="13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left"/>
            </w:pPr>
            <w:r>
              <w:rPr>
                <w:rFonts w:ascii="Arial" w:cs="Arial" w:eastAsia="Arial" w:hAnsi="Arial"/>
                <w:sz w:val="20"/>
                <w:szCs w:val="20"/>
              </w:rPr>
              <w:t xml:space="preserve">Q1, Q2</w:t>
            </w:r>
          </w:p>
        </w:tc>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50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Electric charge of each electron (-1 or +1)</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 (target)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GeV</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Invariant mass of the e+e- system – regression target</w:t>
            </w:r>
          </w:p>
        </w:tc>
      </w:tr>
    </w:tbl>
    <w:p>
      <w:pPr>
        <w:spacing w:after="200"/>
        <w:jc w:val="center"/>
      </w:pPr>
      <w:r>
        <w:rPr>
          <w:rFonts w:ascii="Arial" w:cs="Arial" w:eastAsia="Arial" w:hAnsi="Arial"/>
          <w:i/>
          <w:iCs/>
          <w:color w:val="555555"/>
          <w:sz w:val="20"/>
          <w:szCs w:val="20"/>
        </w:rPr>
        <w:t xml:space="preserve">Table 2.2: Full feature list with data types and physical descriptions</w:t>
      </w:r>
    </w:p>
    <w:p>
      <w:pPr>
        <w:spacing w:after="80"/>
      </w:pPr>
      <w:r>
        <w:t xml:space="preserve"/>
      </w:r>
    </w:p>
    <w:p>
      <w:pPr>
        <w:pStyle w:val="Heading2"/>
      </w:pPr>
      <w:r>
        <w:rPr>
          <w:rFonts w:ascii="Arial" w:cs="Arial" w:eastAsia="Arial" w:hAnsi="Arial"/>
          <w:b/>
          <w:bCs/>
          <w:sz w:val="26"/>
          <w:szCs w:val="26"/>
        </w:rPr>
        <w:t xml:space="preserve">2.3 Statistical Summary of Features</w:t>
      </w:r>
    </w:p>
    <w:p>
      <w:pPr>
        <w:spacing w:after="120"/>
      </w:pPr>
      <w:r>
        <w:rPr>
          <w:rFonts w:ascii="Arial" w:cs="Arial" w:eastAsia="Arial" w:hAnsi="Arial"/>
          <w:sz w:val="22"/>
          <w:szCs w:val="22"/>
        </w:rPr>
        <w:t xml:space="preserve">The table below provides descriptive statistics for key kinematic features, computed using pandas.describe() on the full 100,000-event dataset after removing the identifier columns.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50"/>
        <w:gridCol w:w="950"/>
        <w:gridCol w:w="1000"/>
        <w:gridCol w:w="1000"/>
        <w:gridCol w:w="1000"/>
        <w:gridCol w:w="1000"/>
        <w:gridCol w:w="1000"/>
        <w:gridCol w:w="1260"/>
      </w:tblGrid>
      <w:tr>
        <w:trPr>
          <w:tblHeader/>
        </w:trPr>
        <w:tc>
          <w:tcPr>
            <w:tcW w:type="dxa" w:w="120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95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w:t>
            </w:r>
          </w:p>
        </w:tc>
        <w:tc>
          <w:tcPr>
            <w:tcW w:type="dxa" w:w="95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w:t>
            </w:r>
          </w:p>
        </w:tc>
        <w:tc>
          <w:tcPr>
            <w:tcW w:type="dxa" w:w="100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w:t>
            </w:r>
          </w:p>
        </w:tc>
        <w:tc>
          <w:tcPr>
            <w:tcW w:type="dxa" w:w="100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Std Dev</w:t>
            </w:r>
          </w:p>
        </w:tc>
        <w:tc>
          <w:tcPr>
            <w:tcW w:type="dxa" w:w="100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25%</w:t>
            </w:r>
          </w:p>
        </w:tc>
        <w:tc>
          <w:tcPr>
            <w:tcW w:type="dxa" w:w="100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Median</w:t>
            </w:r>
          </w:p>
        </w:tc>
        <w:tc>
          <w:tcPr>
            <w:tcW w:type="dxa" w:w="100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75%</w:t>
            </w:r>
          </w:p>
        </w:tc>
        <w:tc>
          <w:tcPr>
            <w:tcW w:type="dxa" w:w="126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Skewness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E1 (GeV)</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1.15</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208.7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31.2</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2.3</w:t>
            </w:r>
          </w:p>
        </w:tc>
      </w:tr>
      <w:tr>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left"/>
            </w:pPr>
            <w:r>
              <w:rPr>
                <w:rFonts w:ascii="Arial" w:cs="Arial" w:eastAsia="Arial" w:hAnsi="Arial"/>
                <w:sz w:val="20"/>
                <w:szCs w:val="20"/>
              </w:rPr>
              <w:t xml:space="preserve">E2 (GeV)</w:t>
            </w:r>
          </w:p>
        </w:tc>
        <w:tc>
          <w:tcPr>
            <w:tcW w:type="dxa" w:w="95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0.97</w:t>
            </w:r>
          </w:p>
        </w:tc>
        <w:tc>
          <w:tcPr>
            <w:tcW w:type="dxa" w:w="95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200.3</w:t>
            </w:r>
          </w:p>
        </w:tc>
        <w:tc>
          <w:tcPr>
            <w:tcW w:type="dxa" w:w="1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16.2</w:t>
            </w:r>
          </w:p>
        </w:tc>
        <w:tc>
          <w:tcPr>
            <w:tcW w:type="dxa" w:w="1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17.8</w:t>
            </w:r>
          </w:p>
        </w:tc>
        <w:tc>
          <w:tcPr>
            <w:tcW w:type="dxa" w:w="1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5.1</w:t>
            </w:r>
          </w:p>
        </w:tc>
        <w:tc>
          <w:tcPr>
            <w:tcW w:type="dxa" w:w="1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10.3</w:t>
            </w:r>
          </w:p>
        </w:tc>
        <w:tc>
          <w:tcPr>
            <w:tcW w:type="dxa" w:w="1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22.5</w:t>
            </w:r>
          </w:p>
        </w:tc>
        <w:tc>
          <w:tcPr>
            <w:tcW w:type="dxa" w:w="12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2.9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pt1 (GeV/c)</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0.99</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129.4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14.8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19.6</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2.5</w:t>
            </w:r>
          </w:p>
        </w:tc>
      </w:tr>
      <w:tr>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left"/>
            </w:pPr>
            <w:r>
              <w:rPr>
                <w:rFonts w:ascii="Arial" w:cs="Arial" w:eastAsia="Arial" w:hAnsi="Arial"/>
                <w:sz w:val="20"/>
                <w:szCs w:val="20"/>
              </w:rPr>
              <w:t xml:space="preserve">pt2 (GeV/c)</w:t>
            </w:r>
          </w:p>
        </w:tc>
        <w:tc>
          <w:tcPr>
            <w:tcW w:type="dxa" w:w="95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0.97</w:t>
            </w:r>
          </w:p>
        </w:tc>
        <w:tc>
          <w:tcPr>
            <w:tcW w:type="dxa" w:w="95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123.7</w:t>
            </w:r>
          </w:p>
        </w:tc>
        <w:tc>
          <w:tcPr>
            <w:tcW w:type="dxa" w:w="1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10.3</w:t>
            </w:r>
          </w:p>
        </w:tc>
        <w:tc>
          <w:tcPr>
            <w:tcW w:type="dxa" w:w="1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11.1</w:t>
            </w:r>
          </w:p>
        </w:tc>
        <w:tc>
          <w:tcPr>
            <w:tcW w:type="dxa" w:w="1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3.8</w:t>
            </w:r>
          </w:p>
        </w:tc>
        <w:tc>
          <w:tcPr>
            <w:tcW w:type="dxa" w:w="1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6.8</w:t>
            </w:r>
          </w:p>
        </w:tc>
        <w:tc>
          <w:tcPr>
            <w:tcW w:type="dxa" w:w="1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13.2</w:t>
            </w:r>
          </w:p>
        </w:tc>
        <w:tc>
          <w:tcPr>
            <w:tcW w:type="dxa" w:w="12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3.0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eta1</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-2.50</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2.50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w:t>
            </w:r>
          </w:p>
        </w:tc>
      </w:tr>
      <w:tr>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left"/>
            </w:pPr>
            <w:r>
              <w:rPr>
                <w:rFonts w:ascii="Arial" w:cs="Arial" w:eastAsia="Arial" w:hAnsi="Arial"/>
                <w:sz w:val="20"/>
                <w:szCs w:val="20"/>
              </w:rPr>
              <w:t xml:space="preserve">eta2</w:t>
            </w:r>
          </w:p>
        </w:tc>
        <w:tc>
          <w:tcPr>
            <w:tcW w:type="dxa" w:w="95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-2.50</w:t>
            </w:r>
          </w:p>
        </w:tc>
        <w:tc>
          <w:tcPr>
            <w:tcW w:type="dxa" w:w="95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2.50</w:t>
            </w:r>
          </w:p>
        </w:tc>
        <w:tc>
          <w:tcPr>
            <w:tcW w:type="dxa" w:w="1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0.00</w:t>
            </w:r>
          </w:p>
        </w:tc>
        <w:tc>
          <w:tcPr>
            <w:tcW w:type="dxa" w:w="1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1.10</w:t>
            </w:r>
          </w:p>
        </w:tc>
        <w:tc>
          <w:tcPr>
            <w:tcW w:type="dxa" w:w="1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-0.83</w:t>
            </w:r>
          </w:p>
        </w:tc>
        <w:tc>
          <w:tcPr>
            <w:tcW w:type="dxa" w:w="1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0.01</w:t>
            </w:r>
          </w:p>
        </w:tc>
        <w:tc>
          <w:tcPr>
            <w:tcW w:type="dxa" w:w="1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0.84</w:t>
            </w:r>
          </w:p>
        </w:tc>
        <w:tc>
          <w:tcPr>
            <w:tcW w:type="dxa" w:w="12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phi1 (rad)</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-3.14</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3.14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1.82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1.57</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w:t>
            </w:r>
          </w:p>
        </w:tc>
      </w:tr>
      <w:tr>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left"/>
            </w:pPr>
            <w:r>
              <w:rPr>
                <w:rFonts w:ascii="Arial" w:cs="Arial" w:eastAsia="Arial" w:hAnsi="Arial"/>
                <w:sz w:val="20"/>
                <w:szCs w:val="20"/>
              </w:rPr>
              <w:t xml:space="preserve">M / Target (GeV)</w:t>
            </w:r>
          </w:p>
        </w:tc>
        <w:tc>
          <w:tcPr>
            <w:tcW w:type="dxa" w:w="95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2.00</w:t>
            </w:r>
          </w:p>
        </w:tc>
        <w:tc>
          <w:tcPr>
            <w:tcW w:type="dxa" w:w="95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110.0</w:t>
            </w:r>
          </w:p>
        </w:tc>
        <w:tc>
          <w:tcPr>
            <w:tcW w:type="dxa" w:w="1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30.4</w:t>
            </w:r>
          </w:p>
        </w:tc>
        <w:tc>
          <w:tcPr>
            <w:tcW w:type="dxa" w:w="1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26.1</w:t>
            </w:r>
          </w:p>
        </w:tc>
        <w:tc>
          <w:tcPr>
            <w:tcW w:type="dxa" w:w="1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9.2</w:t>
            </w:r>
          </w:p>
        </w:tc>
        <w:tc>
          <w:tcPr>
            <w:tcW w:type="dxa" w:w="1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22.7</w:t>
            </w:r>
          </w:p>
        </w:tc>
        <w:tc>
          <w:tcPr>
            <w:tcW w:type="dxa" w:w="1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47.3</w:t>
            </w:r>
          </w:p>
        </w:tc>
        <w:tc>
          <w:tcPr>
            <w:tcW w:type="dxa" w:w="12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1.4</w:t>
            </w:r>
          </w:p>
        </w:tc>
      </w:tr>
    </w:tbl>
    <w:p>
      <w:pPr>
        <w:spacing w:after="200"/>
        <w:jc w:val="center"/>
      </w:pPr>
      <w:r>
        <w:rPr>
          <w:rFonts w:ascii="Arial" w:cs="Arial" w:eastAsia="Arial" w:hAnsi="Arial"/>
          <w:i/>
          <w:iCs/>
          <w:color w:val="555555"/>
          <w:sz w:val="20"/>
          <w:szCs w:val="20"/>
        </w:rPr>
        <w:t xml:space="preserve">Table 2.3: Descriptive statistics of key features (from pandas.describe())</w:t>
      </w:r>
    </w:p>
    <w:p>
      <w:pPr>
        <w:spacing w:after="80"/>
      </w:pPr>
      <w:r>
        <w:t xml:space="preserve"/>
      </w:r>
    </w:p>
    <w:p>
      <w:pPr>
        <w:pStyle w:val="Heading2"/>
      </w:pPr>
      <w:r>
        <w:rPr>
          <w:rFonts w:ascii="Arial" w:cs="Arial" w:eastAsia="Arial" w:hAnsi="Arial"/>
          <w:b/>
          <w:bCs/>
          <w:sz w:val="26"/>
          <w:szCs w:val="26"/>
        </w:rPr>
        <w:t xml:space="preserve">2.4 Target Variable Distribution (Regression Problem)</w:t>
      </w:r>
    </w:p>
    <w:p>
      <w:pPr>
        <w:spacing w:after="120"/>
      </w:pPr>
      <w:r>
        <w:rPr>
          <w:rFonts w:ascii="Arial" w:cs="Arial" w:eastAsia="Arial" w:hAnsi="Arial"/>
          <w:sz w:val="22"/>
          <w:szCs w:val="22"/>
        </w:rPr>
        <w:t xml:space="preserve">This is a </w:t>
      </w:r>
      <w:r>
        <w:rPr>
          <w:rFonts w:ascii="Arial" w:cs="Arial" w:eastAsia="Arial" w:hAnsi="Arial"/>
          <w:b/>
          <w:bCs/>
          <w:sz w:val="22"/>
          <w:szCs w:val="22"/>
        </w:rPr>
        <w:t xml:space="preserve">regression problem</w:t>
      </w:r>
      <w:r>
        <w:rPr>
          <w:rFonts w:ascii="Arial" w:cs="Arial" w:eastAsia="Arial" w:hAnsi="Arial"/>
          <w:sz w:val="22"/>
          <w:szCs w:val="22"/>
        </w:rPr>
        <w:t xml:space="preserve"> – the target variable M (invariant mass) is continuous. The distribution of M is strongly right-skewed (skewness ~1.4) and multimodal, reflecting known physics resonances:</w:t>
      </w:r>
    </w:p>
    <w:p>
      <w:pPr>
        <w:spacing w:after="80"/>
      </w:pPr>
      <w:r>
        <w:t xml:space="preserve"/>
      </w:r>
    </w:p>
    <w:p>
      <w:pPr>
        <w:pStyle w:val="ListParagraph"/>
        <w:numPr>
          <w:ilvl w:val="0"/>
          <w:numId w:val="2"/>
        </w:numPr>
        <w:spacing w:after="80"/>
      </w:pPr>
      <w:r>
        <w:rPr>
          <w:rFonts w:ascii="Arial" w:cs="Arial" w:eastAsia="Arial" w:hAnsi="Arial"/>
          <w:sz w:val="22"/>
          <w:szCs w:val="22"/>
        </w:rPr>
        <w:t xml:space="preserve">J/psi meson resonance: peak near M ~3.1 GeV</w:t>
      </w:r>
    </w:p>
    <w:p>
      <w:pPr>
        <w:pStyle w:val="ListParagraph"/>
        <w:numPr>
          <w:ilvl w:val="0"/>
          <w:numId w:val="2"/>
        </w:numPr>
        <w:spacing w:after="80"/>
      </w:pPr>
      <w:r>
        <w:rPr>
          <w:rFonts w:ascii="Arial" w:cs="Arial" w:eastAsia="Arial" w:hAnsi="Arial"/>
          <w:sz w:val="22"/>
          <w:szCs w:val="22"/>
        </w:rPr>
        <w:t xml:space="preserve">Upsilon (Y) meson resonance: peak near M ~9.5 GeV</w:t>
      </w:r>
    </w:p>
    <w:p>
      <w:pPr>
        <w:pStyle w:val="ListParagraph"/>
        <w:numPr>
          <w:ilvl w:val="0"/>
          <w:numId w:val="2"/>
        </w:numPr>
        <w:spacing w:after="80"/>
      </w:pPr>
      <w:r>
        <w:rPr>
          <w:rFonts w:ascii="Arial" w:cs="Arial" w:eastAsia="Arial" w:hAnsi="Arial"/>
          <w:sz w:val="22"/>
          <w:szCs w:val="22"/>
        </w:rPr>
        <w:t xml:space="preserve">Z boson resonance: dominant peak near M ~91 GeV</w:t>
      </w:r>
    </w:p>
    <w:p>
      <w:pPr>
        <w:pStyle w:val="ListParagraph"/>
        <w:numPr>
          <w:ilvl w:val="0"/>
          <w:numId w:val="2"/>
        </w:numPr>
        <w:spacing w:after="80"/>
      </w:pPr>
      <w:r>
        <w:rPr>
          <w:rFonts w:ascii="Arial" w:cs="Arial" w:eastAsia="Arial" w:hAnsi="Arial"/>
          <w:sz w:val="22"/>
          <w:szCs w:val="22"/>
        </w:rPr>
        <w:t xml:space="preserve">Broad low-mass continuum below 10 GeV from other processes</w:t>
      </w:r>
    </w:p>
    <w:p>
      <w:pPr>
        <w:spacing w:after="80"/>
      </w:pPr>
      <w:r>
        <w:t xml:space="preserve"/>
      </w:r>
    </w:p>
    <w:p>
      <w:pPr>
        <w:spacing w:after="120"/>
      </w:pPr>
      <w:r>
        <w:rPr>
          <w:rFonts w:ascii="Arial" w:cs="Arial" w:eastAsia="Arial" w:hAnsi="Arial"/>
          <w:sz w:val="22"/>
          <w:szCs w:val="22"/>
        </w:rPr>
        <w:t xml:space="preserve">The multimodal structure means models must accurately predict across a wide range. The skewed distribution motivates exploring log-transformation of M as a preprocessing option (see Section 4 and Dataset Version V3).</w:t>
      </w:r>
    </w:p>
    <w:p>
      <w:pPr>
        <w:spacing w:after="120"/>
      </w:pPr>
      <w:r>
        <w:rPr>
          <w:rFonts w:ascii="Arial" w:cs="Arial" w:eastAsia="Arial" w:hAnsi="Arial"/>
          <w:b/>
          <w:bCs/>
          <w:sz w:val="22"/>
          <w:szCs w:val="22"/>
        </w:rPr>
        <w:t xml:space="preserve">Note: </w:t>
      </w:r>
      <w:r>
        <w:rPr>
          <w:rFonts w:ascii="Arial" w:cs="Arial" w:eastAsia="Arial" w:hAnsi="Arial"/>
          <w:i/>
          <w:iCs/>
          <w:sz w:val="22"/>
          <w:szCs w:val="22"/>
        </w:rPr>
        <w:t xml:space="preserve">All plots referenced in this document are generated in the accompanying Jupyter Notebook submission.</w:t>
      </w:r>
    </w:p>
    <w:p>
      <w:pPr>
        <w:spacing w:after="80"/>
      </w:pPr>
      <w:r>
        <w:t xml:space="preserve"/>
      </w:r>
    </w:p>
    <w:p>
      <w:pPr>
        <w:pStyle w:val="Heading2"/>
      </w:pPr>
      <w:r>
        <w:rPr>
          <w:rFonts w:ascii="Arial" w:cs="Arial" w:eastAsia="Arial" w:hAnsi="Arial"/>
          <w:b/>
          <w:bCs/>
          <w:sz w:val="26"/>
          <w:szCs w:val="26"/>
        </w:rPr>
        <w:t xml:space="preserve">2.5 Missing Values &amp; Data Quality Audit</w:t>
      </w:r>
    </w:p>
    <w:p>
      <w:pPr>
        <w:spacing w:after="120"/>
      </w:pPr>
      <w:r>
        <w:rPr>
          <w:rFonts w:ascii="Arial" w:cs="Arial" w:eastAsia="Arial" w:hAnsi="Arial"/>
          <w:sz w:val="22"/>
          <w:szCs w:val="22"/>
        </w:rPr>
        <w:t xml:space="preserve">A complete audit using df.isnull().sum() confirmed </w:t>
      </w:r>
      <w:r>
        <w:rPr>
          <w:rFonts w:ascii="Arial" w:cs="Arial" w:eastAsia="Arial" w:hAnsi="Arial"/>
          <w:b/>
          <w:bCs/>
          <w:sz w:val="22"/>
          <w:szCs w:val="22"/>
        </w:rPr>
        <w:t xml:space="preserve">zero missing values</w:t>
      </w:r>
      <w:r>
        <w:rPr>
          <w:rFonts w:ascii="Arial" w:cs="Arial" w:eastAsia="Arial" w:hAnsi="Arial"/>
          <w:sz w:val="22"/>
          <w:szCs w:val="22"/>
        </w:rPr>
        <w:t xml:space="preserve"> across all 100,000 rows. No imputation is required.</w:t>
      </w:r>
    </w:p>
    <w:p>
      <w:pPr>
        <w:spacing w:after="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Quality Check</w:t>
            </w:r>
          </w:p>
        </w:tc>
        <w:tc>
          <w:tcPr>
            <w:tcW w:type="dxa" w:w="300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Missing values (NaN)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 – none detected</w:t>
            </w:r>
          </w:p>
        </w:tc>
      </w:tr>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left"/>
            </w:pPr>
            <w:r>
              <w:rPr>
                <w:rFonts w:ascii="Arial" w:cs="Arial" w:eastAsia="Arial" w:hAnsi="Arial"/>
                <w:sz w:val="20"/>
                <w:szCs w:val="20"/>
              </w:rPr>
              <w:t xml:space="preserve">Duplicate rows</w:t>
            </w:r>
          </w:p>
        </w:tc>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0 – no duplicates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Infinite values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 – none detected</w:t>
            </w:r>
          </w:p>
        </w:tc>
      </w:tr>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left"/>
            </w:pPr>
            <w:r>
              <w:rPr>
                <w:rFonts w:ascii="Arial" w:cs="Arial" w:eastAsia="Arial" w:hAnsi="Arial"/>
                <w:sz w:val="20"/>
                <w:szCs w:val="20"/>
              </w:rPr>
              <w:t xml:space="preserve">Negative energies (unphysical)</w:t>
            </w:r>
          </w:p>
        </w:tc>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0 – all E1, E2 &gt; 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Q1, Q2 outside {-1,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 – all charge values valid</w:t>
            </w:r>
          </w:p>
        </w:tc>
      </w:tr>
    </w:tbl>
    <w:p>
      <w:pPr>
        <w:spacing w:after="200"/>
        <w:jc w:val="center"/>
      </w:pPr>
      <w:r>
        <w:rPr>
          <w:rFonts w:ascii="Arial" w:cs="Arial" w:eastAsia="Arial" w:hAnsi="Arial"/>
          <w:i/>
          <w:iCs/>
          <w:color w:val="555555"/>
          <w:sz w:val="20"/>
          <w:szCs w:val="20"/>
        </w:rPr>
        <w:t xml:space="preserve">Table 2.4: Data quality audit results</w:t>
      </w:r>
    </w:p>
    <w:p>
      <w:r>
        <w:br w:type="page"/>
      </w:r>
    </w:p>
    <w:p>
      <w:pPr>
        <w:pStyle w:val="Heading1"/>
      </w:pPr>
      <w:r>
        <w:rPr>
          <w:rFonts w:ascii="Arial" w:cs="Arial" w:eastAsia="Arial" w:hAnsi="Arial"/>
          <w:b/>
          <w:bCs/>
          <w:sz w:val="32"/>
          <w:szCs w:val="32"/>
        </w:rPr>
        <w:t xml:space="preserve">3. Exploratory Data Analysis (EDA)</w:t>
      </w:r>
    </w:p>
    <w:p>
      <w:pPr>
        <w:pStyle w:val="Heading2"/>
      </w:pPr>
      <w:r>
        <w:rPr>
          <w:rFonts w:ascii="Arial" w:cs="Arial" w:eastAsia="Arial" w:hAnsi="Arial"/>
          <w:b/>
          <w:bCs/>
          <w:sz w:val="26"/>
          <w:szCs w:val="26"/>
        </w:rPr>
        <w:t xml:space="preserve">3.1 Univariate Analysis – Feature Distributions</w:t>
      </w:r>
    </w:p>
    <w:p>
      <w:pPr>
        <w:pStyle w:val="Heading3"/>
      </w:pPr>
      <w:r>
        <w:rPr>
          <w:rFonts w:ascii="Arial" w:cs="Arial" w:eastAsia="Arial" w:hAnsi="Arial"/>
          <w:b/>
          <w:bCs/>
          <w:sz w:val="24"/>
          <w:szCs w:val="24"/>
        </w:rPr>
        <w:t xml:space="preserve">3.1.1 Histograms &amp; Density Plots</w:t>
      </w:r>
    </w:p>
    <w:p>
      <w:pPr>
        <w:spacing w:after="120"/>
      </w:pPr>
      <w:r>
        <w:rPr>
          <w:rFonts w:ascii="Arial" w:cs="Arial" w:eastAsia="Arial" w:hAnsi="Arial"/>
          <w:sz w:val="22"/>
          <w:szCs w:val="22"/>
        </w:rPr>
        <w:t xml:space="preserve">Histograms with kernel density estimates (KDE) were plotted for all continuous features using seaborn.histplot(kde=True). Key observations:</w:t>
      </w:r>
    </w:p>
    <w:p>
      <w:pPr>
        <w:spacing w:after="80"/>
      </w:pPr>
      <w:r>
        <w:t xml:space="preserve"/>
      </w:r>
    </w:p>
    <w:p>
      <w:pPr>
        <w:pStyle w:val="ListParagraph"/>
        <w:numPr>
          <w:ilvl w:val="0"/>
          <w:numId w:val="2"/>
        </w:numPr>
        <w:spacing w:after="80"/>
      </w:pPr>
      <w:r>
        <w:rPr>
          <w:rFonts w:ascii="Arial" w:cs="Arial" w:eastAsia="Arial" w:hAnsi="Arial"/>
          <w:sz w:val="22"/>
          <w:szCs w:val="22"/>
        </w:rPr>
        <w:t xml:space="preserve">Energy features (E1, E2, pt1, pt2): All exhibit strong right-skew with long tails toward high values. Most events have energies below 40 GeV, but tails extend beyond 100 GeV due to Z boson decays. This motivates log-transformation.</w:t>
      </w:r>
    </w:p>
    <w:p>
      <w:pPr>
        <w:pStyle w:val="ListParagraph"/>
        <w:numPr>
          <w:ilvl w:val="0"/>
          <w:numId w:val="2"/>
        </w:numPr>
        <w:spacing w:after="80"/>
      </w:pPr>
      <w:r>
        <w:rPr>
          <w:rFonts w:ascii="Arial" w:cs="Arial" w:eastAsia="Arial" w:hAnsi="Arial"/>
          <w:sz w:val="22"/>
          <w:szCs w:val="22"/>
        </w:rPr>
        <w:t xml:space="preserve">Pseudorapidity (eta1, eta2): Approximately symmetric and near-uniform, bounded by the CMS detector acceptance |eta| &lt; 2.5. No significant skewness.</w:t>
      </w:r>
    </w:p>
    <w:p>
      <w:pPr>
        <w:pStyle w:val="ListParagraph"/>
        <w:numPr>
          <w:ilvl w:val="0"/>
          <w:numId w:val="2"/>
        </w:numPr>
        <w:spacing w:after="80"/>
      </w:pPr>
      <w:r>
        <w:rPr>
          <w:rFonts w:ascii="Arial" w:cs="Arial" w:eastAsia="Arial" w:hAnsi="Arial"/>
          <w:sz w:val="22"/>
          <w:szCs w:val="22"/>
        </w:rPr>
        <w:t xml:space="preserve">Azimuthal angle (phi1, phi2): Nearly uniform over [-pi, +pi], consistent with cylindrical symmetry of the LHC beam line. No transformation required.</w:t>
      </w:r>
    </w:p>
    <w:p>
      <w:pPr>
        <w:pStyle w:val="ListParagraph"/>
        <w:numPr>
          <w:ilvl w:val="0"/>
          <w:numId w:val="2"/>
        </w:numPr>
        <w:spacing w:after="80"/>
      </w:pPr>
      <w:r>
        <w:rPr>
          <w:rFonts w:ascii="Arial" w:cs="Arial" w:eastAsia="Arial" w:hAnsi="Arial"/>
          <w:sz w:val="22"/>
          <w:szCs w:val="22"/>
        </w:rPr>
        <w:t xml:space="preserve">Momentum components (px, py, pz): px and py are approximately symmetric around zero. pz has heavier tails due to the boost along the beam axis.</w:t>
      </w:r>
    </w:p>
    <w:p>
      <w:pPr>
        <w:pStyle w:val="ListParagraph"/>
        <w:numPr>
          <w:ilvl w:val="0"/>
          <w:numId w:val="2"/>
        </w:numPr>
        <w:spacing w:after="80"/>
      </w:pPr>
      <w:r>
        <w:rPr>
          <w:rFonts w:ascii="Arial" w:cs="Arial" w:eastAsia="Arial" w:hAnsi="Arial"/>
          <w:sz w:val="22"/>
          <w:szCs w:val="22"/>
        </w:rPr>
        <w:t xml:space="preserve">Target M: Strongly right-skewed (skewness ~1.4) with visible peaks at 3.1, 9.5, and 91 GeV corresponding to known physics resonances.</w:t>
      </w:r>
    </w:p>
    <w:p>
      <w:pPr>
        <w:spacing w:after="80"/>
      </w:pPr>
      <w:r>
        <w:t xml:space="preserve"/>
      </w:r>
    </w:p>
    <w:p>
      <w:pPr>
        <w:spacing w:after="120"/>
      </w:pPr>
      <w:r>
        <w:rPr>
          <w:rFonts w:ascii="Arial" w:cs="Arial" w:eastAsia="Arial" w:hAnsi="Arial"/>
          <w:i/>
          <w:iCs/>
          <w:color w:val="555555"/>
          <w:sz w:val="22"/>
          <w:szCs w:val="22"/>
        </w:rPr>
        <w:t xml:space="preserve">Figure 3.1 (Notebook): Grid of histograms with KDE overlays for all features. Figure 3.2 (Notebook): Log-scale histogram of target M showing three resonance peaks.</w:t>
      </w:r>
    </w:p>
    <w:p>
      <w:pPr>
        <w:spacing w:after="80"/>
      </w:pPr>
      <w:r>
        <w:t xml:space="preserve"/>
      </w:r>
    </w:p>
    <w:p>
      <w:pPr>
        <w:pStyle w:val="Heading3"/>
      </w:pPr>
      <w:r>
        <w:rPr>
          <w:rFonts w:ascii="Arial" w:cs="Arial" w:eastAsia="Arial" w:hAnsi="Arial"/>
          <w:b/>
          <w:bCs/>
          <w:sz w:val="24"/>
          <w:szCs w:val="24"/>
        </w:rPr>
        <w:t xml:space="preserve">3.1.2 Box Plots – Outlier Detection</w:t>
      </w:r>
    </w:p>
    <w:p>
      <w:pPr>
        <w:spacing w:after="120"/>
      </w:pPr>
      <w:r>
        <w:rPr>
          <w:rFonts w:ascii="Arial" w:cs="Arial" w:eastAsia="Arial" w:hAnsi="Arial"/>
          <w:sz w:val="22"/>
          <w:szCs w:val="22"/>
        </w:rPr>
        <w:t xml:space="preserve">Box plots were produced for all numerical features to visualise IQR, median, and outliers. The IQR rule (Q1 – 1.5*IQR, Q3 + 1.5*IQR) was applied to count statistical outliers:</w:t>
      </w:r>
    </w:p>
    <w:p>
      <w:pPr>
        <w:spacing w:after="80"/>
      </w:pPr>
      <w:r>
        <w:t xml:space="preserve"/>
      </w:r>
    </w:p>
    <w:p>
      <w:pPr>
        <w:pStyle w:val="ListParagraph"/>
        <w:numPr>
          <w:ilvl w:val="0"/>
          <w:numId w:val="2"/>
        </w:numPr>
        <w:spacing w:after="80"/>
      </w:pPr>
      <w:r>
        <w:rPr>
          <w:rFonts w:ascii="Arial" w:cs="Arial" w:eastAsia="Arial" w:hAnsi="Arial"/>
          <w:sz w:val="22"/>
          <w:szCs w:val="22"/>
        </w:rPr>
        <w:t xml:space="preserve">Energy and momentum features (E1, E2, pt1, pt2, pz1, pz2): Show numerous upper-tail outliers (~3–8% of events) corresponding to high-energy Z boson decays. These are physically meaningful and must NOT be removed.</w:t>
      </w:r>
    </w:p>
    <w:p>
      <w:pPr>
        <w:pStyle w:val="ListParagraph"/>
        <w:numPr>
          <w:ilvl w:val="0"/>
          <w:numId w:val="2"/>
        </w:numPr>
        <w:spacing w:after="80"/>
      </w:pPr>
      <w:r>
        <w:rPr>
          <w:rFonts w:ascii="Arial" w:cs="Arial" w:eastAsia="Arial" w:hAnsi="Arial"/>
          <w:sz w:val="22"/>
          <w:szCs w:val="22"/>
        </w:rPr>
        <w:t xml:space="preserve">Pseudorapidity (eta1, eta2): No significant outliers – bounded by detector geometry.</w:t>
      </w:r>
    </w:p>
    <w:p>
      <w:pPr>
        <w:pStyle w:val="ListParagraph"/>
        <w:numPr>
          <w:ilvl w:val="0"/>
          <w:numId w:val="2"/>
        </w:numPr>
        <w:spacing w:after="80"/>
      </w:pPr>
      <w:r>
        <w:rPr>
          <w:rFonts w:ascii="Arial" w:cs="Arial" w:eastAsia="Arial" w:hAnsi="Arial"/>
          <w:sz w:val="22"/>
          <w:szCs w:val="22"/>
        </w:rPr>
        <w:t xml:space="preserve">Azimuthal angles (phi1, phi2): No outliers – naturally bounded by [-pi, +pi].</w:t>
      </w:r>
    </w:p>
    <w:p>
      <w:pPr>
        <w:pStyle w:val="ListParagraph"/>
        <w:numPr>
          <w:ilvl w:val="0"/>
          <w:numId w:val="2"/>
        </w:numPr>
        <w:spacing w:after="80"/>
      </w:pPr>
      <w:r>
        <w:rPr>
          <w:rFonts w:ascii="Arial" w:cs="Arial" w:eastAsia="Arial" w:hAnsi="Arial"/>
          <w:sz w:val="22"/>
          <w:szCs w:val="22"/>
        </w:rPr>
        <w:t xml:space="preserve">Target M: Upper-tail outliers above ~100 GeV are valid (Z boson peak region) and are retained.</w:t>
      </w:r>
    </w:p>
    <w:p>
      <w:pPr>
        <w:spacing w:after="80"/>
      </w:pPr>
      <w:r>
        <w:t xml:space="preserve"/>
      </w:r>
    </w:p>
    <w:p>
      <w:pPr>
        <w:spacing w:after="120"/>
      </w:pPr>
      <w:r>
        <w:rPr>
          <w:rFonts w:ascii="Arial" w:cs="Arial" w:eastAsia="Arial" w:hAnsi="Arial"/>
          <w:i/>
          <w:iCs/>
          <w:sz w:val="22"/>
          <w:szCs w:val="22"/>
        </w:rPr>
        <w:t xml:space="preserve">Conclusion: 'Outliers' detected statistically are physically meaningful high-energy events. No outlier removal is performed.</w:t>
      </w:r>
    </w:p>
    <w:p>
      <w:pPr>
        <w:spacing w:after="120"/>
      </w:pPr>
      <w:r>
        <w:rPr>
          <w:rFonts w:ascii="Arial" w:cs="Arial" w:eastAsia="Arial" w:hAnsi="Arial"/>
          <w:i/>
          <w:iCs/>
          <w:color w:val="555555"/>
          <w:sz w:val="22"/>
          <w:szCs w:val="22"/>
        </w:rPr>
        <w:t xml:space="preserve">Figure 3.3 (Notebook): Box plots for all continuous features with outlier points annotated.</w:t>
      </w:r>
    </w:p>
    <w:p>
      <w:pPr>
        <w:spacing w:after="80"/>
      </w:pPr>
      <w:r>
        <w:t xml:space="preserve"/>
      </w:r>
    </w:p>
    <w:p>
      <w:pPr>
        <w:pStyle w:val="Heading3"/>
      </w:pPr>
      <w:r>
        <w:rPr>
          <w:rFonts w:ascii="Arial" w:cs="Arial" w:eastAsia="Arial" w:hAnsi="Arial"/>
          <w:b/>
          <w:bCs/>
          <w:sz w:val="24"/>
          <w:szCs w:val="24"/>
        </w:rPr>
        <w:t xml:space="preserve">3.1.3 Violin Plots</w:t>
      </w:r>
    </w:p>
    <w:p>
      <w:pPr>
        <w:spacing w:after="120"/>
      </w:pPr>
      <w:r>
        <w:rPr>
          <w:rFonts w:ascii="Arial" w:cs="Arial" w:eastAsia="Arial" w:hAnsi="Arial"/>
          <w:sz w:val="22"/>
          <w:szCs w:val="22"/>
        </w:rPr>
        <w:t xml:space="preserve">Violin plots were produced to show the full distribution shape alongside box-plot statistics. For energy features, the violin shape confirms the right-skewed, long-tailed distribution. For eta and phi, the shape is broad and symmetric. The phi distributions show a near-rectangular violin shape consistent with the uniform angular distribution.</w:t>
      </w:r>
    </w:p>
    <w:p>
      <w:pPr>
        <w:spacing w:after="120"/>
      </w:pPr>
      <w:r>
        <w:rPr>
          <w:rFonts w:ascii="Arial" w:cs="Arial" w:eastAsia="Arial" w:hAnsi="Arial"/>
          <w:i/>
          <w:iCs/>
          <w:color w:val="555555"/>
          <w:sz w:val="22"/>
          <w:szCs w:val="22"/>
        </w:rPr>
        <w:t xml:space="preserve">Figure 3.4 (Notebook): Violin plots for energy features (E1, E2, pt1, pt2) and angular features (eta1, eta2, phi1, phi2).</w:t>
      </w:r>
    </w:p>
    <w:p>
      <w:pPr>
        <w:spacing w:after="80"/>
      </w:pPr>
      <w:r>
        <w:t xml:space="preserve"/>
      </w:r>
    </w:p>
    <w:p>
      <w:pPr>
        <w:pStyle w:val="Heading2"/>
      </w:pPr>
      <w:r>
        <w:rPr>
          <w:rFonts w:ascii="Arial" w:cs="Arial" w:eastAsia="Arial" w:hAnsi="Arial"/>
          <w:b/>
          <w:bCs/>
          <w:sz w:val="26"/>
          <w:szCs w:val="26"/>
        </w:rPr>
        <w:t xml:space="preserve">3.2 Bivariate &amp; Multivariate Analysis</w:t>
      </w:r>
    </w:p>
    <w:p>
      <w:pPr>
        <w:pStyle w:val="Heading3"/>
      </w:pPr>
      <w:r>
        <w:rPr>
          <w:rFonts w:ascii="Arial" w:cs="Arial" w:eastAsia="Arial" w:hAnsi="Arial"/>
          <w:b/>
          <w:bCs/>
          <w:sz w:val="24"/>
          <w:szCs w:val="24"/>
        </w:rPr>
        <w:t xml:space="preserve">3.2.1 Correlation Heatmap</w:t>
      </w:r>
    </w:p>
    <w:p>
      <w:pPr>
        <w:spacing w:after="120"/>
      </w:pPr>
      <w:r>
        <w:rPr>
          <w:rFonts w:ascii="Arial" w:cs="Arial" w:eastAsia="Arial" w:hAnsi="Arial"/>
          <w:sz w:val="22"/>
          <w:szCs w:val="22"/>
        </w:rPr>
        <w:t xml:space="preserve">A Pearson correlation heatmap was generated for all numerical features. Key findings:</w:t>
      </w:r>
    </w:p>
    <w:p>
      <w:pPr>
        <w:spacing w:after="80"/>
      </w:pPr>
      <w:r>
        <w:t xml:space="preserve"/>
      </w:r>
    </w:p>
    <w:p>
      <w:pPr>
        <w:pStyle w:val="ListParagraph"/>
        <w:numPr>
          <w:ilvl w:val="0"/>
          <w:numId w:val="2"/>
        </w:numPr>
        <w:spacing w:after="80"/>
      </w:pPr>
      <w:r>
        <w:rPr>
          <w:rFonts w:ascii="Arial" w:cs="Arial" w:eastAsia="Arial" w:hAnsi="Arial"/>
          <w:sz w:val="22"/>
          <w:szCs w:val="22"/>
        </w:rPr>
        <w:t xml:space="preserve">Strong positive correlations: E1 &lt;-&gt; pt1 (r ~0.87), E2 &lt;-&gt; pt2 (r ~0.86), indicating high collinearity between energy and transverse momentum for each electron.</w:t>
      </w:r>
    </w:p>
    <w:p>
      <w:pPr>
        <w:pStyle w:val="ListParagraph"/>
        <w:numPr>
          <w:ilvl w:val="0"/>
          <w:numId w:val="2"/>
        </w:numPr>
        <w:spacing w:after="80"/>
      </w:pPr>
      <w:r>
        <w:rPr>
          <w:rFonts w:ascii="Arial" w:cs="Arial" w:eastAsia="Arial" w:hAnsi="Arial"/>
          <w:sz w:val="22"/>
          <w:szCs w:val="22"/>
        </w:rPr>
        <w:t xml:space="preserve">Moderate correlation with target M: E1 and E2 show the highest correlation with M (r ~0.65–0.70), confirming their physical relevance as predictors.</w:t>
      </w:r>
    </w:p>
    <w:p>
      <w:pPr>
        <w:pStyle w:val="ListParagraph"/>
        <w:numPr>
          <w:ilvl w:val="0"/>
          <w:numId w:val="2"/>
        </w:numPr>
        <w:spacing w:after="80"/>
      </w:pPr>
      <w:r>
        <w:rPr>
          <w:rFonts w:ascii="Arial" w:cs="Arial" w:eastAsia="Arial" w:hAnsi="Arial"/>
          <w:sz w:val="22"/>
          <w:szCs w:val="22"/>
        </w:rPr>
        <w:t xml:space="preserve">Symmetry: Features for electron 1 and electron 2 are largely uncorrelated with each other (r ~0.0–0.2), as the two electrons from a decay can have very different kinematics.</w:t>
      </w:r>
    </w:p>
    <w:p>
      <w:pPr>
        <w:pStyle w:val="ListParagraph"/>
        <w:numPr>
          <w:ilvl w:val="0"/>
          <w:numId w:val="2"/>
        </w:numPr>
        <w:spacing w:after="80"/>
      </w:pPr>
      <w:r>
        <w:rPr>
          <w:rFonts w:ascii="Arial" w:cs="Arial" w:eastAsia="Arial" w:hAnsi="Arial"/>
          <w:sz w:val="22"/>
          <w:szCs w:val="22"/>
        </w:rPr>
        <w:t xml:space="preserve">Charge features Q1, Q2: Near-zero correlations with continuous features, as expected for discrete charge values.</w:t>
      </w:r>
    </w:p>
    <w:p>
      <w:pPr>
        <w:spacing w:after="80"/>
      </w:pPr>
      <w:r>
        <w:t xml:space="preserve"/>
      </w:r>
    </w:p>
    <w:p>
      <w:pPr>
        <w:spacing w:after="120"/>
      </w:pPr>
      <w:r>
        <w:rPr>
          <w:rFonts w:ascii="Arial" w:cs="Arial" w:eastAsia="Arial" w:hAnsi="Arial"/>
          <w:sz w:val="22"/>
          <w:szCs w:val="22"/>
        </w:rPr>
        <w:t xml:space="preserve">The high E–pt collinearity motivates considering dimensionality reduction or selective feature removal in preprocessing (see Section 4.6).</w:t>
      </w:r>
    </w:p>
    <w:p>
      <w:pPr>
        <w:spacing w:after="120"/>
      </w:pPr>
      <w:r>
        <w:rPr>
          <w:rFonts w:ascii="Arial" w:cs="Arial" w:eastAsia="Arial" w:hAnsi="Arial"/>
          <w:i/>
          <w:iCs/>
          <w:color w:val="555555"/>
          <w:sz w:val="22"/>
          <w:szCs w:val="22"/>
        </w:rPr>
        <w:t xml:space="preserve">Figure 3.5 (Notebook): Full Pearson correlation heatmap with colour scale from -1 (blue) to +1 (red).</w:t>
      </w:r>
    </w:p>
    <w:p>
      <w:pPr>
        <w:spacing w:after="80"/>
      </w:pPr>
      <w:r>
        <w:t xml:space="preserve"/>
      </w:r>
    </w:p>
    <w:p>
      <w:pPr>
        <w:pStyle w:val="Heading3"/>
      </w:pPr>
      <w:r>
        <w:rPr>
          <w:rFonts w:ascii="Arial" w:cs="Arial" w:eastAsia="Arial" w:hAnsi="Arial"/>
          <w:b/>
          <w:bCs/>
          <w:sz w:val="24"/>
          <w:szCs w:val="24"/>
        </w:rPr>
        <w:t xml:space="preserve">3.2.2 Scatter Plots – Features vs Target M</w:t>
      </w:r>
    </w:p>
    <w:p>
      <w:pPr>
        <w:spacing w:after="120"/>
      </w:pPr>
      <w:r>
        <w:rPr>
          <w:rFonts w:ascii="Arial" w:cs="Arial" w:eastAsia="Arial" w:hAnsi="Arial"/>
          <w:sz w:val="22"/>
          <w:szCs w:val="22"/>
        </w:rPr>
        <w:t xml:space="preserve">Scatter plots of each feature against the target M were generated:</w:t>
      </w:r>
    </w:p>
    <w:p>
      <w:pPr>
        <w:spacing w:after="80"/>
      </w:pPr>
      <w:r>
        <w:t xml:space="preserve"/>
      </w:r>
    </w:p>
    <w:p>
      <w:pPr>
        <w:pStyle w:val="ListParagraph"/>
        <w:numPr>
          <w:ilvl w:val="0"/>
          <w:numId w:val="2"/>
        </w:numPr>
        <w:spacing w:after="80"/>
      </w:pPr>
      <w:r>
        <w:rPr>
          <w:rFonts w:ascii="Arial" w:cs="Arial" w:eastAsia="Arial" w:hAnsi="Arial"/>
          <w:sz w:val="22"/>
          <w:szCs w:val="22"/>
        </w:rPr>
        <w:t xml:space="preserve">E1, E2 vs M: Clear positive relationship with a cluster around the Z boson mass (~91 GeV). High-energy events cluster at high M, confirming physical expectations.</w:t>
      </w:r>
    </w:p>
    <w:p>
      <w:pPr>
        <w:pStyle w:val="ListParagraph"/>
        <w:numPr>
          <w:ilvl w:val="0"/>
          <w:numId w:val="2"/>
        </w:numPr>
        <w:spacing w:after="80"/>
      </w:pPr>
      <w:r>
        <w:rPr>
          <w:rFonts w:ascii="Arial" w:cs="Arial" w:eastAsia="Arial" w:hAnsi="Arial"/>
          <w:sz w:val="22"/>
          <w:szCs w:val="22"/>
        </w:rPr>
        <w:t xml:space="preserve">pt1, pt2 vs M: Similar positive trend with more scatter at intermediate M values.</w:t>
      </w:r>
    </w:p>
    <w:p>
      <w:pPr>
        <w:pStyle w:val="ListParagraph"/>
        <w:numPr>
          <w:ilvl w:val="0"/>
          <w:numId w:val="2"/>
        </w:numPr>
        <w:spacing w:after="80"/>
      </w:pPr>
      <w:r>
        <w:rPr>
          <w:rFonts w:ascii="Arial" w:cs="Arial" w:eastAsia="Arial" w:hAnsi="Arial"/>
          <w:sz w:val="22"/>
          <w:szCs w:val="22"/>
        </w:rPr>
        <w:t xml:space="preserve">eta vs M: No clear linear trend; pseudorapidity captures angular rather than energy-scale information.</w:t>
      </w:r>
    </w:p>
    <w:p>
      <w:pPr>
        <w:pStyle w:val="ListParagraph"/>
        <w:numPr>
          <w:ilvl w:val="0"/>
          <w:numId w:val="2"/>
        </w:numPr>
        <w:spacing w:after="80"/>
      </w:pPr>
      <w:r>
        <w:rPr>
          <w:rFonts w:ascii="Arial" w:cs="Arial" w:eastAsia="Arial" w:hAnsi="Arial"/>
          <w:sz w:val="22"/>
          <w:szCs w:val="22"/>
        </w:rPr>
        <w:t xml:space="preserve">phi vs M: No discernible relationship, as azimuthal angle is uniform and physically uncorrelated with mass.</w:t>
      </w:r>
    </w:p>
    <w:p>
      <w:pPr>
        <w:spacing w:after="80"/>
      </w:pPr>
      <w:r>
        <w:t xml:space="preserve"/>
      </w:r>
    </w:p>
    <w:p>
      <w:pPr>
        <w:spacing w:after="120"/>
      </w:pPr>
      <w:r>
        <w:rPr>
          <w:rFonts w:ascii="Arial" w:cs="Arial" w:eastAsia="Arial" w:hAnsi="Arial"/>
          <w:i/>
          <w:iCs/>
          <w:color w:val="555555"/>
          <w:sz w:val="22"/>
          <w:szCs w:val="22"/>
        </w:rPr>
        <w:t xml:space="preserve">Figure 3.6 (Notebook): 2x4 scatter plot grid for top features vs M, colour-coded by charge combination (Q1+Q2).</w:t>
      </w:r>
    </w:p>
    <w:p>
      <w:pPr>
        <w:spacing w:after="80"/>
      </w:pPr>
      <w:r>
        <w:t xml:space="preserve"/>
      </w:r>
    </w:p>
    <w:p>
      <w:pPr>
        <w:pStyle w:val="Heading3"/>
      </w:pPr>
      <w:r>
        <w:rPr>
          <w:rFonts w:ascii="Arial" w:cs="Arial" w:eastAsia="Arial" w:hAnsi="Arial"/>
          <w:b/>
          <w:bCs/>
          <w:sz w:val="24"/>
          <w:szCs w:val="24"/>
        </w:rPr>
        <w:t xml:space="preserve">3.2.3 Categorical Feature Analysis – Charge Q1, Q2</w:t>
      </w:r>
    </w:p>
    <w:p>
      <w:pPr>
        <w:spacing w:after="120"/>
      </w:pPr>
      <w:r>
        <w:rPr>
          <w:rFonts w:ascii="Arial" w:cs="Arial" w:eastAsia="Arial" w:hAnsi="Arial"/>
          <w:sz w:val="22"/>
          <w:szCs w:val="22"/>
        </w:rPr>
        <w:t xml:space="preserve">The electric charge features Q1 and Q2 take values in {-1, +1}. Dominant decay channels (Z -&gt; e+e-, J/psi -&gt; e+e-) produce opposite-sign pairs (Q1 x Q2 = -1). Count plots revealed:</w:t>
      </w:r>
    </w:p>
    <w:p>
      <w:pPr>
        <w:spacing w:after="80"/>
      </w:pPr>
      <w:r>
        <w:t xml:space="preserve"/>
      </w:r>
    </w:p>
    <w:p>
      <w:pPr>
        <w:pStyle w:val="ListParagraph"/>
        <w:numPr>
          <w:ilvl w:val="0"/>
          <w:numId w:val="2"/>
        </w:numPr>
        <w:spacing w:after="80"/>
      </w:pPr>
      <w:r>
        <w:rPr>
          <w:rFonts w:ascii="Arial" w:cs="Arial" w:eastAsia="Arial" w:hAnsi="Arial"/>
          <w:sz w:val="22"/>
          <w:szCs w:val="22"/>
        </w:rPr>
        <w:t xml:space="preserve">Opposite-sign pairs (Q1+Q2 = 0): ~97% of events – physically expected signal events from particle decays.</w:t>
      </w:r>
    </w:p>
    <w:p>
      <w:pPr>
        <w:pStyle w:val="ListParagraph"/>
        <w:numPr>
          <w:ilvl w:val="0"/>
          <w:numId w:val="2"/>
        </w:numPr>
        <w:spacing w:after="80"/>
      </w:pPr>
      <w:r>
        <w:rPr>
          <w:rFonts w:ascii="Arial" w:cs="Arial" w:eastAsia="Arial" w:hAnsi="Arial"/>
          <w:sz w:val="22"/>
          <w:szCs w:val="22"/>
        </w:rPr>
        <w:t xml:space="preserve">Same-sign pairs (Q1+Q2 = +-2): ~3% of events – likely background or mis-reconstructed events.</w:t>
      </w:r>
    </w:p>
    <w:p>
      <w:pPr>
        <w:spacing w:after="80"/>
      </w:pPr>
      <w:r>
        <w:t xml:space="preserve"/>
      </w:r>
    </w:p>
    <w:p>
      <w:pPr>
        <w:spacing w:after="120"/>
      </w:pPr>
      <w:r>
        <w:rPr>
          <w:rFonts w:ascii="Arial" w:cs="Arial" w:eastAsia="Arial" w:hAnsi="Arial"/>
          <w:sz w:val="22"/>
          <w:szCs w:val="22"/>
        </w:rPr>
        <w:t xml:space="preserve">This motivates creating a binary engineered feature 'opposite_sign' and exploring whether filtering to only opposite-sign events improves model performance.</w:t>
      </w:r>
    </w:p>
    <w:p>
      <w:pPr>
        <w:spacing w:after="120"/>
      </w:pPr>
      <w:r>
        <w:rPr>
          <w:rFonts w:ascii="Arial" w:cs="Arial" w:eastAsia="Arial" w:hAnsi="Arial"/>
          <w:i/>
          <w:iCs/>
          <w:color w:val="555555"/>
          <w:sz w:val="22"/>
          <w:szCs w:val="22"/>
        </w:rPr>
        <w:t xml:space="preserve">Figure 3.7 (Notebook): Count plot of charge combinations; box plot of M grouped by charge category.</w:t>
      </w:r>
    </w:p>
    <w:p>
      <w:pPr>
        <w:spacing w:after="80"/>
      </w:pPr>
      <w:r>
        <w:t xml:space="preserve"/>
      </w:r>
    </w:p>
    <w:p>
      <w:pPr>
        <w:pStyle w:val="Heading3"/>
      </w:pPr>
      <w:r>
        <w:rPr>
          <w:rFonts w:ascii="Arial" w:cs="Arial" w:eastAsia="Arial" w:hAnsi="Arial"/>
          <w:b/>
          <w:bCs/>
          <w:sz w:val="24"/>
          <w:szCs w:val="24"/>
        </w:rPr>
        <w:t xml:space="preserve">3.2.4 Pairplot of Key Features</w:t>
      </w:r>
    </w:p>
    <w:p>
      <w:pPr>
        <w:spacing w:after="120"/>
      </w:pPr>
      <w:r>
        <w:rPr>
          <w:rFonts w:ascii="Arial" w:cs="Arial" w:eastAsia="Arial" w:hAnsi="Arial"/>
          <w:sz w:val="22"/>
          <w:szCs w:val="22"/>
        </w:rPr>
        <w:t xml:space="preserve">A seaborn pairplot of E1, E2, pt1, pt2, eta1, and M was generated, colour-coded by charge combination. The pairplot confirmed the strong E–pt correlations and revealed that the Z boson mass region (M ~91 GeV) forms a visually distinct cluster in the E1–E2 plane.</w:t>
      </w:r>
    </w:p>
    <w:p>
      <w:pPr>
        <w:spacing w:after="120"/>
      </w:pPr>
      <w:r>
        <w:rPr>
          <w:rFonts w:ascii="Arial" w:cs="Arial" w:eastAsia="Arial" w:hAnsi="Arial"/>
          <w:i/>
          <w:iCs/>
          <w:color w:val="555555"/>
          <w:sz w:val="22"/>
          <w:szCs w:val="22"/>
        </w:rPr>
        <w:t xml:space="preserve">Figure 3.8 (Notebook): Pairplot of top 6 features coloured by charge sign combination.</w:t>
      </w:r>
    </w:p>
    <w:p>
      <w:pPr>
        <w:spacing w:after="80"/>
      </w:pPr>
      <w:r>
        <w:t xml:space="preserve"/>
      </w:r>
    </w:p>
    <w:p>
      <w:r>
        <w:br w:type="page"/>
      </w:r>
    </w:p>
    <w:p>
      <w:pPr>
        <w:pStyle w:val="Heading1"/>
      </w:pPr>
      <w:r>
        <w:rPr>
          <w:rFonts w:ascii="Arial" w:cs="Arial" w:eastAsia="Arial" w:hAnsi="Arial"/>
          <w:b/>
          <w:bCs/>
          <w:sz w:val="32"/>
          <w:szCs w:val="32"/>
        </w:rPr>
        <w:t xml:space="preserve">4. Data Preprocessing</w:t>
      </w:r>
    </w:p>
    <w:p>
      <w:pPr>
        <w:spacing w:after="120"/>
      </w:pPr>
      <w:r>
        <w:rPr>
          <w:rFonts w:ascii="Arial" w:cs="Arial" w:eastAsia="Arial" w:hAnsi="Arial"/>
          <w:sz w:val="22"/>
          <w:szCs w:val="22"/>
        </w:rPr>
        <w:t xml:space="preserve">All preprocessing steps were implemented in Python using scikit-learn pipelines. Each decision is justified by EDA findings from Section 3. Since the dataset contains no missing values, the focus is on feature engineering, scaling, and transformation.</w:t>
      </w:r>
    </w:p>
    <w:p>
      <w:pPr>
        <w:spacing w:after="80"/>
      </w:pPr>
      <w:r>
        <w:t xml:space="preserve"/>
      </w:r>
    </w:p>
    <w:p>
      <w:pPr>
        <w:pStyle w:val="Heading2"/>
      </w:pPr>
      <w:r>
        <w:rPr>
          <w:rFonts w:ascii="Arial" w:cs="Arial" w:eastAsia="Arial" w:hAnsi="Arial"/>
          <w:b/>
          <w:bCs/>
          <w:sz w:val="26"/>
          <w:szCs w:val="26"/>
        </w:rPr>
        <w:t xml:space="preserve">4.1 Data Cleaning</w:t>
      </w:r>
    </w:p>
    <w:p>
      <w:pPr>
        <w:pStyle w:val="ListParagraph"/>
        <w:numPr>
          <w:ilvl w:val="0"/>
          <w:numId w:val="2"/>
        </w:numPr>
        <w:spacing w:after="80"/>
      </w:pPr>
      <w:r>
        <w:rPr>
          <w:rFonts w:ascii="Arial" w:cs="Arial" w:eastAsia="Arial" w:hAnsi="Arial"/>
          <w:sz w:val="22"/>
          <w:szCs w:val="22"/>
        </w:rPr>
        <w:t xml:space="preserve">Drop identifier columns: Run and Event are removed as they are arbitrary identifiers with no physical predictive value.</w:t>
      </w:r>
    </w:p>
    <w:p>
      <w:pPr>
        <w:pStyle w:val="ListParagraph"/>
        <w:numPr>
          <w:ilvl w:val="0"/>
          <w:numId w:val="2"/>
        </w:numPr>
        <w:spacing w:after="80"/>
      </w:pPr>
      <w:r>
        <w:rPr>
          <w:rFonts w:ascii="Arial" w:cs="Arial" w:eastAsia="Arial" w:hAnsi="Arial"/>
          <w:sz w:val="22"/>
          <w:szCs w:val="22"/>
        </w:rPr>
        <w:t xml:space="preserve">No missing-value imputation required: The dataset is complete (Section 2.5).</w:t>
      </w:r>
    </w:p>
    <w:p>
      <w:pPr>
        <w:pStyle w:val="ListParagraph"/>
        <w:numPr>
          <w:ilvl w:val="0"/>
          <w:numId w:val="2"/>
        </w:numPr>
        <w:spacing w:after="80"/>
      </w:pPr>
      <w:r>
        <w:rPr>
          <w:rFonts w:ascii="Arial" w:cs="Arial" w:eastAsia="Arial" w:hAnsi="Arial"/>
          <w:sz w:val="22"/>
          <w:szCs w:val="22"/>
        </w:rPr>
        <w:t xml:space="preserve">No outlier removal: High-energy outliers (E &gt; ~100 GeV) are physically meaningful Z boson events and are fully retained. Removing them would bias models against the Z boson resonance region.</w:t>
      </w:r>
    </w:p>
    <w:p>
      <w:pPr>
        <w:pStyle w:val="ListParagraph"/>
        <w:numPr>
          <w:ilvl w:val="0"/>
          <w:numId w:val="2"/>
        </w:numPr>
        <w:spacing w:after="80"/>
      </w:pPr>
      <w:r>
        <w:rPr>
          <w:rFonts w:ascii="Arial" w:cs="Arial" w:eastAsia="Arial" w:hAnsi="Arial"/>
          <w:sz w:val="22"/>
          <w:szCs w:val="22"/>
        </w:rPr>
        <w:t xml:space="preserve">Retain same-sign charge events in the base dataset: ~3% same-sign events are kept in V1–V4; a filtered opposite-sign version is explored separately.</w:t>
      </w:r>
    </w:p>
    <w:p>
      <w:pPr>
        <w:spacing w:after="80"/>
      </w:pPr>
      <w:r>
        <w:t xml:space="preserve"/>
      </w:r>
    </w:p>
    <w:p>
      <w:pPr>
        <w:pStyle w:val="Heading2"/>
      </w:pPr>
      <w:r>
        <w:rPr>
          <w:rFonts w:ascii="Arial" w:cs="Arial" w:eastAsia="Arial" w:hAnsi="Arial"/>
          <w:b/>
          <w:bCs/>
          <w:sz w:val="26"/>
          <w:szCs w:val="26"/>
        </w:rPr>
        <w:t xml:space="preserve">4.2 Feature Engineering</w:t>
      </w:r>
    </w:p>
    <w:p>
      <w:pPr>
        <w:spacing w:after="120"/>
      </w:pPr>
      <w:r>
        <w:rPr>
          <w:rFonts w:ascii="Arial" w:cs="Arial" w:eastAsia="Arial" w:hAnsi="Arial"/>
          <w:sz w:val="22"/>
          <w:szCs w:val="22"/>
        </w:rPr>
        <w:t xml:space="preserve">Physics-motivated engineered features were created to potentially improve model performance by encoding domain knowledge: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Engineered Feature</w:t>
            </w:r>
          </w:p>
        </w:tc>
        <w:tc>
          <w:tcPr>
            <w:tcW w:type="dxa" w:w="280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w:t>
            </w:r>
          </w:p>
        </w:tc>
        <w:tc>
          <w:tcPr>
            <w:tcW w:type="dxa" w:w="436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Physical Justification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delta_eta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eta1 - eta2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Angular separation in pseudorapidity between the two electrons</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left"/>
            </w:pPr>
            <w:r>
              <w:rPr>
                <w:rFonts w:ascii="Arial" w:cs="Arial" w:eastAsia="Arial" w:hAnsi="Arial"/>
                <w:sz w:val="20"/>
                <w:szCs w:val="20"/>
              </w:rPr>
              <w:t xml:space="preserve">delta_phi</w:t>
            </w:r>
          </w:p>
        </w:tc>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|phi1 - phi2|</w:t>
            </w:r>
          </w:p>
        </w:tc>
        <w:tc>
          <w:tcPr>
            <w:tcW w:type="dxa" w:w="4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Angular separation in azimuthal direction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delta_R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sqrt(delta_eta^2 + delta_phi^2)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Total angular separation – key jet/object isolation observable in collider physics</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left"/>
            </w:pPr>
            <w:r>
              <w:rPr>
                <w:rFonts w:ascii="Arial" w:cs="Arial" w:eastAsia="Arial" w:hAnsi="Arial"/>
                <w:sz w:val="20"/>
                <w:szCs w:val="20"/>
              </w:rPr>
              <w:t xml:space="preserve">sum_pt</w:t>
            </w:r>
          </w:p>
        </w:tc>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pt1 + pt2</w:t>
            </w:r>
          </w:p>
        </w:tc>
        <w:tc>
          <w:tcPr>
            <w:tcW w:type="dxa" w:w="4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Total transverse momentum of the dielectron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sum_E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E1 + E2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Total energy – appears directly in the invariant mass formula</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left"/>
            </w:pPr>
            <w:r>
              <w:rPr>
                <w:rFonts w:ascii="Arial" w:cs="Arial" w:eastAsia="Arial" w:hAnsi="Arial"/>
                <w:sz w:val="20"/>
                <w:szCs w:val="20"/>
              </w:rPr>
              <w:t xml:space="preserve">opposite_sign</w:t>
            </w:r>
          </w:p>
        </w:tc>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1 if Q1*Q2 &lt; 0 else 0</w:t>
            </w:r>
          </w:p>
        </w:tc>
        <w:tc>
          <w:tcPr>
            <w:tcW w:type="dxa" w:w="4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Binary flag for physically expected opposite-sign signal events</w:t>
            </w:r>
          </w:p>
        </w:tc>
      </w:tr>
    </w:tbl>
    <w:p>
      <w:pPr>
        <w:spacing w:after="200"/>
        <w:jc w:val="center"/>
      </w:pPr>
      <w:r>
        <w:rPr>
          <w:rFonts w:ascii="Arial" w:cs="Arial" w:eastAsia="Arial" w:hAnsi="Arial"/>
          <w:i/>
          <w:iCs/>
          <w:color w:val="555555"/>
          <w:sz w:val="20"/>
          <w:szCs w:val="20"/>
        </w:rPr>
        <w:t xml:space="preserve">Table 4.1: Physics-motivated engineered features added in Dataset Version V4</w:t>
      </w:r>
    </w:p>
    <w:p>
      <w:pPr>
        <w:spacing w:after="80"/>
      </w:pPr>
      <w:r>
        <w:t xml:space="preserve"/>
      </w:r>
    </w:p>
    <w:p>
      <w:pPr>
        <w:pStyle w:val="Heading2"/>
      </w:pPr>
      <w:r>
        <w:rPr>
          <w:rFonts w:ascii="Arial" w:cs="Arial" w:eastAsia="Arial" w:hAnsi="Arial"/>
          <w:b/>
          <w:bCs/>
          <w:sz w:val="26"/>
          <w:szCs w:val="26"/>
        </w:rPr>
        <w:t xml:space="preserve">4.3 Encoding of Categorical Variables</w:t>
      </w:r>
    </w:p>
    <w:p>
      <w:pPr>
        <w:spacing w:after="120"/>
      </w:pPr>
      <w:r>
        <w:rPr>
          <w:rFonts w:ascii="Arial" w:cs="Arial" w:eastAsia="Arial" w:hAnsi="Arial"/>
          <w:sz w:val="22"/>
          <w:szCs w:val="22"/>
        </w:rPr>
        <w:t xml:space="preserve">The only categorical-like features are Q1 and Q2 (electric charge, values -1 or +1). Since these are already numeric integers with an ordinal physical meaning, </w:t>
      </w:r>
      <w:r>
        <w:rPr>
          <w:rFonts w:ascii="Arial" w:cs="Arial" w:eastAsia="Arial" w:hAnsi="Arial"/>
          <w:b/>
          <w:bCs/>
          <w:sz w:val="22"/>
          <w:szCs w:val="22"/>
        </w:rPr>
        <w:t xml:space="preserve">no encoding transformation is required</w:t>
      </w:r>
      <w:r>
        <w:rPr>
          <w:rFonts w:ascii="Arial" w:cs="Arial" w:eastAsia="Arial" w:hAnsi="Arial"/>
          <w:sz w:val="22"/>
          <w:szCs w:val="22"/>
        </w:rPr>
        <w:t xml:space="preserve">. They are used directly. In V4 (engineered features), Q1 and Q2 may optionally be dropped in favour of the composite 'opposite_sign' feature.</w:t>
      </w:r>
    </w:p>
    <w:p>
      <w:pPr>
        <w:spacing w:after="80"/>
      </w:pPr>
      <w:r>
        <w:t xml:space="preserve"/>
      </w:r>
    </w:p>
    <w:p>
      <w:pPr>
        <w:pStyle w:val="Heading2"/>
      </w:pPr>
      <w:r>
        <w:rPr>
          <w:rFonts w:ascii="Arial" w:cs="Arial" w:eastAsia="Arial" w:hAnsi="Arial"/>
          <w:b/>
          <w:bCs/>
          <w:sz w:val="26"/>
          <w:szCs w:val="26"/>
        </w:rPr>
        <w:t xml:space="preserve">4.4 Feature Scaling</w:t>
      </w:r>
    </w:p>
    <w:p>
      <w:pPr>
        <w:spacing w:after="120"/>
      </w:pPr>
      <w:r>
        <w:rPr>
          <w:rFonts w:ascii="Arial" w:cs="Arial" w:eastAsia="Arial" w:hAnsi="Arial"/>
          <w:sz w:val="22"/>
          <w:szCs w:val="22"/>
        </w:rPr>
        <w:t xml:space="preserve">EDA revealed that features exist on very different numerical scales (e.g., phi in [-pi, +pi] vs E in [1, 200] GeV). Two scaling strategies are tested across dataset versions:</w:t>
      </w:r>
    </w:p>
    <w:p>
      <w:pPr>
        <w:spacing w:after="80"/>
      </w:pPr>
      <w:r>
        <w:t xml:space="preserve"/>
      </w:r>
    </w:p>
    <w:p>
      <w:pPr>
        <w:pStyle w:val="ListParagraph"/>
        <w:numPr>
          <w:ilvl w:val="0"/>
          <w:numId w:val="2"/>
        </w:numPr>
        <w:spacing w:after="80"/>
      </w:pPr>
      <w:r>
        <w:rPr>
          <w:rFonts w:ascii="Arial" w:cs="Arial" w:eastAsia="Arial" w:hAnsi="Arial"/>
          <w:sz w:val="22"/>
          <w:szCs w:val="22"/>
        </w:rPr>
        <w:t xml:space="preserve">Standardisation (Z-score, StandardScaler): Transforms each feature to zero mean and unit variance. Applied in all dataset versions by default. Essential for distance-based models (KNN, SVR) sensitive to feature magnitude. [scikit-learn, StandardScaler]</w:t>
      </w:r>
    </w:p>
    <w:p>
      <w:pPr>
        <w:pStyle w:val="ListParagraph"/>
        <w:numPr>
          <w:ilvl w:val="0"/>
          <w:numId w:val="2"/>
        </w:numPr>
        <w:spacing w:after="80"/>
      </w:pPr>
      <w:r>
        <w:rPr>
          <w:rFonts w:ascii="Arial" w:cs="Arial" w:eastAsia="Arial" w:hAnsi="Arial"/>
          <w:sz w:val="22"/>
          <w:szCs w:val="22"/>
        </w:rPr>
        <w:t xml:space="preserve">Normalisation (Min-Max, MinMaxScaler): Scales all features to [0, 1]. Tested as an alternative in one dataset version. Less sensitive to extreme values than standardisation but can compress the dynamic range of the high-energy tail. [scikit-learn, MinMaxScaler]</w:t>
      </w:r>
    </w:p>
    <w:p>
      <w:pPr>
        <w:pStyle w:val="ListParagraph"/>
        <w:numPr>
          <w:ilvl w:val="0"/>
          <w:numId w:val="2"/>
        </w:numPr>
        <w:spacing w:after="80"/>
      </w:pPr>
      <w:r>
        <w:rPr>
          <w:rFonts w:ascii="Arial" w:cs="Arial" w:eastAsia="Arial" w:hAnsi="Arial"/>
          <w:sz w:val="22"/>
          <w:szCs w:val="22"/>
        </w:rPr>
        <w:t xml:space="preserve">Tree-based models (Decision Tree, Random Forest, XGBoost) are scale-invariant; scaling does not affect their predictions but is applied for consistency across all dataset versions.</w:t>
      </w:r>
    </w:p>
    <w:p>
      <w:pPr>
        <w:spacing w:after="80"/>
      </w:pPr>
      <w:r>
        <w:t xml:space="preserve"/>
      </w:r>
    </w:p>
    <w:p>
      <w:pPr>
        <w:pStyle w:val="Heading2"/>
      </w:pPr>
      <w:r>
        <w:rPr>
          <w:rFonts w:ascii="Arial" w:cs="Arial" w:eastAsia="Arial" w:hAnsi="Arial"/>
          <w:b/>
          <w:bCs/>
          <w:sz w:val="26"/>
          <w:szCs w:val="26"/>
        </w:rPr>
        <w:t xml:space="preserve">4.5 Feature Transformation – Handling Skewness</w:t>
      </w:r>
    </w:p>
    <w:p>
      <w:pPr>
        <w:spacing w:after="120"/>
      </w:pPr>
      <w:r>
        <w:rPr>
          <w:rFonts w:ascii="Arial" w:cs="Arial" w:eastAsia="Arial" w:hAnsi="Arial"/>
          <w:sz w:val="22"/>
          <w:szCs w:val="22"/>
        </w:rPr>
        <w:t xml:space="preserve">EDA showed that energy and momentum features are strongly right-skewed (skewness 2.3–3.0). Two strategies are explored:</w:t>
      </w:r>
    </w:p>
    <w:p>
      <w:pPr>
        <w:spacing w:after="80"/>
      </w:pPr>
      <w:r>
        <w:t xml:space="preserve"/>
      </w:r>
    </w:p>
    <w:p>
      <w:pPr>
        <w:pStyle w:val="ListParagraph"/>
        <w:numPr>
          <w:ilvl w:val="0"/>
          <w:numId w:val="2"/>
        </w:numPr>
        <w:spacing w:after="80"/>
      </w:pPr>
      <w:r>
        <w:rPr>
          <w:rFonts w:ascii="Arial" w:cs="Arial" w:eastAsia="Arial" w:hAnsi="Arial"/>
          <w:sz w:val="22"/>
          <w:szCs w:val="22"/>
        </w:rPr>
        <w:t xml:space="preserve">Log transformation (np.log1p): Applied to strictly positive features E1, E2, pt1, pt2 to reduce skewness and compress the long tail. Makes distributions more Gaussian-like, benefiting linear models and KNN. Used in V2, V3, V4, and V5.</w:t>
      </w:r>
    </w:p>
    <w:p>
      <w:pPr>
        <w:pStyle w:val="ListParagraph"/>
        <w:numPr>
          <w:ilvl w:val="0"/>
          <w:numId w:val="2"/>
        </w:numPr>
        <w:spacing w:after="80"/>
      </w:pPr>
      <w:r>
        <w:rPr>
          <w:rFonts w:ascii="Arial" w:cs="Arial" w:eastAsia="Arial" w:hAnsi="Arial"/>
          <w:sz w:val="22"/>
          <w:szCs w:val="22"/>
        </w:rPr>
        <w:t xml:space="preserve">No transformation (raw values): Used in V1 (baseline) to establish a reference point. Tree-based models are not affected by monotonic transformations so their performance on V1 vs V2 should be similar.</w:t>
      </w:r>
    </w:p>
    <w:p>
      <w:pPr>
        <w:pStyle w:val="ListParagraph"/>
        <w:numPr>
          <w:ilvl w:val="0"/>
          <w:numId w:val="2"/>
        </w:numPr>
        <w:spacing w:after="80"/>
      </w:pPr>
      <w:r>
        <w:rPr>
          <w:rFonts w:ascii="Arial" w:cs="Arial" w:eastAsia="Arial" w:hAnsi="Arial"/>
          <w:sz w:val="22"/>
          <w:szCs w:val="22"/>
        </w:rPr>
        <w:t xml:space="preserve">Target transformation: A log-transformed target (log_M = log(M)) is used in V3. Models trained on log_M must exponentiate predictions back to GeV before evaluation metrics are computed.</w:t>
      </w:r>
    </w:p>
    <w:p>
      <w:pPr>
        <w:spacing w:after="80"/>
      </w:pPr>
      <w:r>
        <w:t xml:space="preserve"/>
      </w:r>
    </w:p>
    <w:p>
      <w:pPr>
        <w:pStyle w:val="Heading2"/>
      </w:pPr>
      <w:r>
        <w:rPr>
          <w:rFonts w:ascii="Arial" w:cs="Arial" w:eastAsia="Arial" w:hAnsi="Arial"/>
          <w:b/>
          <w:bCs/>
          <w:sz w:val="26"/>
          <w:szCs w:val="26"/>
        </w:rPr>
        <w:t xml:space="preserve">4.6 Feature Selection &amp; Dimensionality Reduction</w:t>
      </w:r>
    </w:p>
    <w:p>
      <w:pPr>
        <w:pStyle w:val="ListParagraph"/>
        <w:numPr>
          <w:ilvl w:val="0"/>
          <w:numId w:val="2"/>
        </w:numPr>
        <w:spacing w:after="80"/>
      </w:pPr>
      <w:r>
        <w:rPr>
          <w:rFonts w:ascii="Arial" w:cs="Arial" w:eastAsia="Arial" w:hAnsi="Arial"/>
          <w:sz w:val="22"/>
          <w:szCs w:val="22"/>
        </w:rPr>
        <w:t xml:space="preserve">Correlation-based selection: Due to the high E–pt collinearity (r ~0.86–0.87), a version of the dataset retains only pt1, pt2 (dropping E1, E2) since transverse momentum already captures the transverse energy scale. This is explored within V2.</w:t>
      </w:r>
    </w:p>
    <w:p>
      <w:pPr>
        <w:pStyle w:val="ListParagraph"/>
        <w:numPr>
          <w:ilvl w:val="0"/>
          <w:numId w:val="2"/>
        </w:numPr>
        <w:spacing w:after="80"/>
      </w:pPr>
      <w:r>
        <w:rPr>
          <w:rFonts w:ascii="Arial" w:cs="Arial" w:eastAsia="Arial" w:hAnsi="Arial"/>
          <w:sz w:val="22"/>
          <w:szCs w:val="22"/>
        </w:rPr>
        <w:t xml:space="preserve">PCA (Principal Component Analysis): Applied in V5 after standardisation, retaining components that explain 95% of total variance. This decorrelates features and reduces dimensionality, which is particularly beneficial for KNN and SVR. [scikit-learn, PCA]</w:t>
      </w:r>
    </w:p>
    <w:p>
      <w:pPr>
        <w:pStyle w:val="ListParagraph"/>
        <w:numPr>
          <w:ilvl w:val="0"/>
          <w:numId w:val="2"/>
        </w:numPr>
        <w:spacing w:after="80"/>
      </w:pPr>
      <w:r>
        <w:rPr>
          <w:rFonts w:ascii="Arial" w:cs="Arial" w:eastAsia="Arial" w:hAnsi="Arial"/>
          <w:sz w:val="22"/>
          <w:szCs w:val="22"/>
        </w:rPr>
        <w:t xml:space="preserve">Random Forest feature importance: After initial model training, MDI importance scores will be inspected to guide further feature selection in Deliverable 3.</w:t>
      </w:r>
    </w:p>
    <w:p>
      <w:pPr>
        <w:spacing w:after="80"/>
      </w:pPr>
      <w:r>
        <w:t xml:space="preserve"/>
      </w:r>
    </w:p>
    <w:p>
      <w:pPr>
        <w:pStyle w:val="Heading2"/>
      </w:pPr>
      <w:r>
        <w:rPr>
          <w:rFonts w:ascii="Arial" w:cs="Arial" w:eastAsia="Arial" w:hAnsi="Arial"/>
          <w:b/>
          <w:bCs/>
          <w:sz w:val="26"/>
          <w:szCs w:val="26"/>
        </w:rPr>
        <w:t xml:space="preserve">4.7 Handling Imbalanced Data (Regression Context)</w:t>
      </w:r>
    </w:p>
    <w:p>
      <w:pPr>
        <w:spacing w:after="120"/>
      </w:pPr>
      <w:r>
        <w:rPr>
          <w:rFonts w:ascii="Arial" w:cs="Arial" w:eastAsia="Arial" w:hAnsi="Arial"/>
          <w:sz w:val="22"/>
          <w:szCs w:val="22"/>
        </w:rPr>
        <w:t xml:space="preserve">This is a </w:t>
      </w:r>
      <w:r>
        <w:rPr>
          <w:rFonts w:ascii="Arial" w:cs="Arial" w:eastAsia="Arial" w:hAnsi="Arial"/>
          <w:b/>
          <w:bCs/>
          <w:sz w:val="22"/>
          <w:szCs w:val="22"/>
        </w:rPr>
        <w:t xml:space="preserve">regression problem</w:t>
      </w:r>
      <w:r>
        <w:rPr>
          <w:rFonts w:ascii="Arial" w:cs="Arial" w:eastAsia="Arial" w:hAnsi="Arial"/>
          <w:sz w:val="22"/>
          <w:szCs w:val="22"/>
        </w:rPr>
        <w:t xml:space="preserve">, so classical class imbalance techniques (SMOTE, oversampling) do not directly apply. However, the non-uniform, multimodal distribution of M may cause models to underfit rare high-mass Z boson events. Strategies applied:</w:t>
      </w:r>
    </w:p>
    <w:p>
      <w:pPr>
        <w:spacing w:after="80"/>
      </w:pPr>
      <w:r>
        <w:t xml:space="preserve"/>
      </w:r>
    </w:p>
    <w:p>
      <w:pPr>
        <w:pStyle w:val="ListParagraph"/>
        <w:numPr>
          <w:ilvl w:val="0"/>
          <w:numId w:val="2"/>
        </w:numPr>
        <w:spacing w:after="80"/>
      </w:pPr>
      <w:r>
        <w:rPr>
          <w:rFonts w:ascii="Arial" w:cs="Arial" w:eastAsia="Arial" w:hAnsi="Arial"/>
          <w:sz w:val="22"/>
          <w:szCs w:val="22"/>
        </w:rPr>
        <w:t xml:space="preserve">Stratified train/test splitting: The mass range is binned into regions (low: M &lt; 10 GeV, mid: 10–50 GeV, high: M &gt; 50 GeV) and stratified sampling ensures all resonance regions are represented in both train and test sets.</w:t>
      </w:r>
    </w:p>
    <w:p>
      <w:pPr>
        <w:pStyle w:val="ListParagraph"/>
        <w:numPr>
          <w:ilvl w:val="0"/>
          <w:numId w:val="2"/>
        </w:numPr>
        <w:spacing w:after="80"/>
      </w:pPr>
      <w:r>
        <w:rPr>
          <w:rFonts w:ascii="Arial" w:cs="Arial" w:eastAsia="Arial" w:hAnsi="Arial"/>
          <w:sz w:val="22"/>
          <w:szCs w:val="22"/>
        </w:rPr>
        <w:t xml:space="preserve">Importance weighting (sample_weight): In selected model training runs, higher weights are assigned to events near physics resonances to improve resonance-region prediction accuracy.</w:t>
      </w:r>
    </w:p>
    <w:p>
      <w:pPr>
        <w:pStyle w:val="ListParagraph"/>
        <w:numPr>
          <w:ilvl w:val="0"/>
          <w:numId w:val="2"/>
        </w:numPr>
        <w:spacing w:after="80"/>
      </w:pPr>
      <w:r>
        <w:rPr>
          <w:rFonts w:ascii="Arial" w:cs="Arial" w:eastAsia="Arial" w:hAnsi="Arial"/>
          <w:sz w:val="22"/>
          <w:szCs w:val="22"/>
        </w:rPr>
        <w:t xml:space="preserve">Background filtering (V5 variant): A filtered version retaining only opposite-sign electron pairs (~97,000 events) is evaluated to assess whether removing likely background events improves signal region accuracy.</w:t>
      </w:r>
    </w:p>
    <w:p>
      <w:pPr>
        <w:spacing w:after="80"/>
      </w:pPr>
      <w:r>
        <w:t xml:space="preserve"/>
      </w:r>
    </w:p>
    <w:p>
      <w:r>
        <w:br w:type="page"/>
      </w:r>
    </w:p>
    <w:p>
      <w:pPr>
        <w:pStyle w:val="Heading1"/>
      </w:pPr>
      <w:r>
        <w:rPr>
          <w:rFonts w:ascii="Arial" w:cs="Arial" w:eastAsia="Arial" w:hAnsi="Arial"/>
          <w:b/>
          <w:bCs/>
          <w:sz w:val="32"/>
          <w:szCs w:val="32"/>
        </w:rPr>
        <w:t xml:space="preserve">5. Preprocessed Dataset Versions</w:t>
      </w:r>
    </w:p>
    <w:p>
      <w:pPr>
        <w:spacing w:after="120"/>
      </w:pPr>
      <w:r>
        <w:rPr>
          <w:rFonts w:ascii="Arial" w:cs="Arial" w:eastAsia="Arial" w:hAnsi="Arial"/>
          <w:sz w:val="22"/>
          <w:szCs w:val="22"/>
        </w:rPr>
        <w:t xml:space="preserve">Five preprocessed versions of the dataset are created, each combining different techniques. All versions: (1) drop Run and Event columns, (2) use an 80/20 stratified train/test split (stratified by mass region), and (3) apply StandardScaler by default.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60"/>
        <w:gridCol w:w="1560"/>
        <w:gridCol w:w="1760"/>
        <w:gridCol w:w="1560"/>
        <w:gridCol w:w="1520"/>
      </w:tblGrid>
      <w:tr>
        <w:trPr>
          <w:tblHeader/>
        </w:trPr>
        <w:tc>
          <w:tcPr>
            <w:tcW w:type="dxa" w:w="80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w:t>
            </w:r>
          </w:p>
        </w:tc>
        <w:tc>
          <w:tcPr>
            <w:tcW w:type="dxa" w:w="156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Scaling</w:t>
            </w:r>
          </w:p>
        </w:tc>
        <w:tc>
          <w:tcPr>
            <w:tcW w:type="dxa" w:w="156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Transformation</w:t>
            </w:r>
          </w:p>
        </w:tc>
        <w:tc>
          <w:tcPr>
            <w:tcW w:type="dxa" w:w="176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Features</w:t>
            </w:r>
          </w:p>
        </w:tc>
        <w:tc>
          <w:tcPr>
            <w:tcW w:type="dxa" w:w="156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152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Intended Models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StandardScaler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None (raw)</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Original features (excl. Run/Event)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 (raw)</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All models – baseline</w:t>
            </w:r>
          </w:p>
        </w:tc>
      </w:tr>
      <w:tr>
        <w:tc>
          <w:tcPr>
            <w:tcW w:type="dxa" w:w="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left"/>
            </w:pPr>
            <w:r>
              <w:rPr>
                <w:rFonts w:ascii="Arial" w:cs="Arial" w:eastAsia="Arial" w:hAnsi="Arial"/>
                <w:sz w:val="20"/>
                <w:szCs w:val="20"/>
              </w:rPr>
              <w:t xml:space="preserve">V2</w:t>
            </w:r>
          </w:p>
        </w:tc>
        <w:tc>
          <w:tcPr>
            <w:tcW w:type="dxa" w:w="1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StandardScaler</w:t>
            </w:r>
          </w:p>
        </w:tc>
        <w:tc>
          <w:tcPr>
            <w:tcW w:type="dxa" w:w="1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log1p on E, pt</w:t>
            </w:r>
          </w:p>
        </w:tc>
        <w:tc>
          <w:tcPr>
            <w:tcW w:type="dxa" w:w="1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Original + log-transformed energy features</w:t>
            </w:r>
          </w:p>
        </w:tc>
        <w:tc>
          <w:tcPr>
            <w:tcW w:type="dxa" w:w="1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M (raw)</w:t>
            </w:r>
          </w:p>
        </w:tc>
        <w:tc>
          <w:tcPr>
            <w:tcW w:type="dxa" w:w="15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KNN, SVR, Linear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StandardScaler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log1p on E, pt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Original + log-transformed energy features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log(M)</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All models</w:t>
            </w:r>
          </w:p>
        </w:tc>
      </w:tr>
      <w:tr>
        <w:tc>
          <w:tcPr>
            <w:tcW w:type="dxa" w:w="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left"/>
            </w:pPr>
            <w:r>
              <w:rPr>
                <w:rFonts w:ascii="Arial" w:cs="Arial" w:eastAsia="Arial" w:hAnsi="Arial"/>
                <w:sz w:val="20"/>
                <w:szCs w:val="20"/>
              </w:rPr>
              <w:t xml:space="preserve">V4</w:t>
            </w:r>
          </w:p>
        </w:tc>
        <w:tc>
          <w:tcPr>
            <w:tcW w:type="dxa" w:w="1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StandardScaler</w:t>
            </w:r>
          </w:p>
        </w:tc>
        <w:tc>
          <w:tcPr>
            <w:tcW w:type="dxa" w:w="1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log1p on E, pt</w:t>
            </w:r>
          </w:p>
        </w:tc>
        <w:tc>
          <w:tcPr>
            <w:tcW w:type="dxa" w:w="1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Original + engineered physics features</w:t>
            </w:r>
          </w:p>
        </w:tc>
        <w:tc>
          <w:tcPr>
            <w:tcW w:type="dxa" w:w="1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M (raw)</w:t>
            </w:r>
          </w:p>
        </w:tc>
        <w:tc>
          <w:tcPr>
            <w:tcW w:type="dxa" w:w="15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Tree-based, KNN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StandardScaler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log1p on E, pt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PCA-reduced (95% variance retained)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 (raw)</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KNN, SVR</w:t>
            </w:r>
          </w:p>
        </w:tc>
      </w:tr>
    </w:tbl>
    <w:p>
      <w:pPr>
        <w:spacing w:after="200"/>
        <w:jc w:val="center"/>
      </w:pPr>
      <w:r>
        <w:rPr>
          <w:rFonts w:ascii="Arial" w:cs="Arial" w:eastAsia="Arial" w:hAnsi="Arial"/>
          <w:i/>
          <w:iCs/>
          <w:color w:val="555555"/>
          <w:sz w:val="20"/>
          <w:szCs w:val="20"/>
        </w:rPr>
        <w:t xml:space="preserve">Table 5.1: Summary of five preprocessed dataset versions</w:t>
      </w:r>
    </w:p>
    <w:p>
      <w:pPr>
        <w:spacing w:after="80"/>
      </w:pPr>
      <w:r>
        <w:t xml:space="preserve"/>
      </w:r>
    </w:p>
    <w:p>
      <w:pPr>
        <w:pStyle w:val="Heading2"/>
      </w:pPr>
      <w:r>
        <w:rPr>
          <w:rFonts w:ascii="Arial" w:cs="Arial" w:eastAsia="Arial" w:hAnsi="Arial"/>
          <w:b/>
          <w:bCs/>
          <w:sz w:val="26"/>
          <w:szCs w:val="26"/>
        </w:rPr>
        <w:t xml:space="preserve">5.1 Version Justifications</w:t>
      </w:r>
    </w:p>
    <w:p>
      <w:pPr>
        <w:spacing w:after="120"/>
      </w:pPr>
      <w:r>
        <w:rPr>
          <w:rFonts w:ascii="Arial" w:cs="Arial" w:eastAsia="Arial" w:hAnsi="Arial"/>
          <w:b/>
          <w:bCs/>
          <w:sz w:val="22"/>
          <w:szCs w:val="22"/>
        </w:rPr>
        <w:t xml:space="preserve">V1 – Baseline: </w:t>
      </w:r>
      <w:r>
        <w:rPr>
          <w:rFonts w:ascii="Arial" w:cs="Arial" w:eastAsia="Arial" w:hAnsi="Arial"/>
          <w:sz w:val="22"/>
          <w:szCs w:val="22"/>
        </w:rPr>
        <w:t xml:space="preserve">Provides a reference point with no transformations. All four models are trained on V1 first to establish baseline performance before assessing the value of additional preprocessing steps.</w:t>
      </w:r>
    </w:p>
    <w:p>
      <w:pPr>
        <w:spacing w:after="80"/>
      </w:pPr>
      <w:r>
        <w:t xml:space="preserve"/>
      </w:r>
    </w:p>
    <w:p>
      <w:pPr>
        <w:spacing w:after="120"/>
      </w:pPr>
      <w:r>
        <w:rPr>
          <w:rFonts w:ascii="Arial" w:cs="Arial" w:eastAsia="Arial" w:hAnsi="Arial"/>
          <w:b/>
          <w:bCs/>
          <w:sz w:val="22"/>
          <w:szCs w:val="22"/>
        </w:rPr>
        <w:t xml:space="preserve">V2 – Log-transformed features: </w:t>
      </w:r>
      <w:r>
        <w:rPr>
          <w:rFonts w:ascii="Arial" w:cs="Arial" w:eastAsia="Arial" w:hAnsi="Arial"/>
          <w:sz w:val="22"/>
          <w:szCs w:val="22"/>
        </w:rPr>
        <w:t xml:space="preserve">Motivated by the observed right-skew in energy and momentum features (skewness 2.3–3.0). Log transformation reduces skewness and makes feature distributions more symmetric, improving performance of distance-based and linear models. Tree-based models are included for comparison.</w:t>
      </w:r>
    </w:p>
    <w:p>
      <w:pPr>
        <w:spacing w:after="80"/>
      </w:pPr>
      <w:r>
        <w:t xml:space="preserve"/>
      </w:r>
    </w:p>
    <w:p>
      <w:pPr>
        <w:spacing w:after="120"/>
      </w:pPr>
      <w:r>
        <w:rPr>
          <w:rFonts w:ascii="Arial" w:cs="Arial" w:eastAsia="Arial" w:hAnsi="Arial"/>
          <w:b/>
          <w:bCs/>
          <w:sz w:val="22"/>
          <w:szCs w:val="22"/>
        </w:rPr>
        <w:t xml:space="preserve">V3 – Log-transformed target: </w:t>
      </w:r>
      <w:r>
        <w:rPr>
          <w:rFonts w:ascii="Arial" w:cs="Arial" w:eastAsia="Arial" w:hAnsi="Arial"/>
          <w:sz w:val="22"/>
          <w:szCs w:val="22"/>
        </w:rPr>
        <w:t xml:space="preserve">The target M spans a wide range (2–110 GeV) with right-skew. Log-transforming M aligns with the multiplicative nature of resonance mass scales, allowing models to minimise relative rather than absolute errors. This is more physically meaningful across different resonance regions.</w:t>
      </w:r>
    </w:p>
    <w:p>
      <w:pPr>
        <w:spacing w:after="80"/>
      </w:pPr>
      <w:r>
        <w:t xml:space="preserve"/>
      </w:r>
    </w:p>
    <w:p>
      <w:pPr>
        <w:spacing w:after="120"/>
      </w:pPr>
      <w:r>
        <w:rPr>
          <w:rFonts w:ascii="Arial" w:cs="Arial" w:eastAsia="Arial" w:hAnsi="Arial"/>
          <w:b/>
          <w:bCs/>
          <w:sz w:val="22"/>
          <w:szCs w:val="22"/>
        </w:rPr>
        <w:t xml:space="preserve">V4 – Engineered physics features: </w:t>
      </w:r>
      <w:r>
        <w:rPr>
          <w:rFonts w:ascii="Arial" w:cs="Arial" w:eastAsia="Arial" w:hAnsi="Arial"/>
          <w:sz w:val="22"/>
          <w:szCs w:val="22"/>
        </w:rPr>
        <w:t xml:space="preserve">Adds domain-knowledge features (delta_R, sum_pt, sum_E, opposite_sign) that encode physically meaningful composites. These features may provide shortcuts for models that struggle to discover these combinations from raw features alone. Most beneficial for tree-based models.</w:t>
      </w:r>
    </w:p>
    <w:p>
      <w:pPr>
        <w:spacing w:after="80"/>
      </w:pPr>
      <w:r>
        <w:t xml:space="preserve"/>
      </w:r>
    </w:p>
    <w:p>
      <w:pPr>
        <w:spacing w:after="120"/>
      </w:pPr>
      <w:r>
        <w:rPr>
          <w:rFonts w:ascii="Arial" w:cs="Arial" w:eastAsia="Arial" w:hAnsi="Arial"/>
          <w:b/>
          <w:bCs/>
          <w:sz w:val="22"/>
          <w:szCs w:val="22"/>
        </w:rPr>
        <w:t xml:space="preserve">V5 – PCA reduction: </w:t>
      </w:r>
      <w:r>
        <w:rPr>
          <w:rFonts w:ascii="Arial" w:cs="Arial" w:eastAsia="Arial" w:hAnsi="Arial"/>
          <w:sz w:val="22"/>
          <w:szCs w:val="22"/>
        </w:rPr>
        <w:t xml:space="preserve">Addresses the E–pt feature collinearity. After standardisation and log transformation, PCA is applied retaining 95% of variance. This decorrelates features and reduces dimensionality, benefiting distance-based methods (KNN, SVR) where correlated features inflate effective distances and distort neighbourhood structure.</w:t>
      </w:r>
    </w:p>
    <w:p>
      <w:pPr>
        <w:spacing w:after="80"/>
      </w:pPr>
      <w:r>
        <w:t xml:space="preserve"/>
      </w:r>
    </w:p>
    <w:p>
      <w:r>
        <w:br w:type="page"/>
      </w:r>
    </w:p>
    <w:p>
      <w:pPr>
        <w:pStyle w:val="Heading1"/>
      </w:pPr>
      <w:r>
        <w:rPr>
          <w:rFonts w:ascii="Arial" w:cs="Arial" w:eastAsia="Arial" w:hAnsi="Arial"/>
          <w:b/>
          <w:bCs/>
          <w:sz w:val="32"/>
          <w:szCs w:val="32"/>
        </w:rPr>
        <w:t xml:space="preserve">6. Selected Machine Learning Techniques</w:t>
      </w:r>
    </w:p>
    <w:p>
      <w:pPr>
        <w:spacing w:after="120"/>
      </w:pPr>
      <w:r>
        <w:rPr>
          <w:rFonts w:ascii="Arial" w:cs="Arial" w:eastAsia="Arial" w:hAnsi="Arial"/>
          <w:sz w:val="22"/>
          <w:szCs w:val="22"/>
        </w:rPr>
        <w:t xml:space="preserve">Four regression techniques have been selected to provide a diverse range of model families, assumptions, and complexity levels. All four will be trained and evaluated on each of the five preprocessed dataset versions described in Section 5.</w:t>
      </w:r>
    </w:p>
    <w:p>
      <w:pPr>
        <w:spacing w:after="80"/>
      </w:pPr>
      <w:r>
        <w:t xml:space="preserve"/>
      </w:r>
    </w:p>
    <w:p>
      <w:pPr>
        <w:pStyle w:val="Heading2"/>
      </w:pPr>
      <w:r>
        <w:rPr>
          <w:rFonts w:ascii="Arial" w:cs="Arial" w:eastAsia="Arial" w:hAnsi="Arial"/>
          <w:b/>
          <w:bCs/>
          <w:sz w:val="26"/>
          <w:szCs w:val="26"/>
        </w:rPr>
        <w:t xml:space="preserve">6.1 K-Nearest Neighbours Regression (KNN)</w:t>
      </w:r>
    </w:p>
    <w:p>
      <w:pPr>
        <w:spacing w:after="120"/>
      </w:pPr>
      <w:r>
        <w:rPr>
          <w:rFonts w:ascii="Arial" w:cs="Arial" w:eastAsia="Arial" w:hAnsi="Arial"/>
          <w:sz w:val="22"/>
          <w:szCs w:val="22"/>
        </w:rPr>
        <w:t xml:space="preserve">K-Nearest Neighbours (KNN) is a non-parametric, instance-based learning algorithm that makes predictions by finding the k training samples closest to a query point in feature space and averaging their target values. It requires no explicit training phase – the entire training set is stored in memory and queried at prediction time. The key hyperparameter k controls the bias-variance trade-off: small k leads to high variance (sensitive to noise), while large k produces over-smoothed predictions. For regression, the prediction is typically the unweighted or distance-weighted mean of the k nearest neighbours' target values.</w:t>
      </w:r>
    </w:p>
    <w:p>
      <w:pPr>
        <w:spacing w:after="80"/>
      </w:pPr>
      <w:r>
        <w:t xml:space="preserve"/>
      </w:r>
    </w:p>
    <w:p>
      <w:pPr>
        <w:spacing w:after="120"/>
      </w:pPr>
      <w:r>
        <w:rPr>
          <w:rFonts w:ascii="Arial" w:cs="Arial" w:eastAsia="Arial" w:hAnsi="Arial"/>
          <w:sz w:val="22"/>
          <w:szCs w:val="22"/>
        </w:rPr>
        <w:t xml:space="preserve">KNN is particularly sensitive to feature scaling (since it relies on Euclidean distances) and to the curse of dimensionality – performance degrades as the number of features increases because distances become less meaningful in high-dimensional spaces. This makes standardisation and PCA (V5) especially important for KNN. The algorithm also makes no assumptions about the functional form of the feature-target relationship, which is an advantage given the complex, non-linear physics structure of the dielectron data.</w:t>
      </w:r>
    </w:p>
    <w:p>
      <w:pPr>
        <w:spacing w:after="80"/>
      </w:pPr>
      <w:r>
        <w:t xml:space="preserve"/>
      </w:r>
    </w:p>
    <w:p>
      <w:pPr>
        <w:spacing w:after="120"/>
      </w:pPr>
      <w:r>
        <w:rPr>
          <w:rFonts w:ascii="Arial" w:cs="Arial" w:eastAsia="Arial" w:hAnsi="Arial"/>
          <w:sz w:val="22"/>
          <w:szCs w:val="22"/>
        </w:rPr>
        <w:t xml:space="preserve">In the context of dielectron mass prediction, KNN leverages the fact that events with similar kinematic configurations (similar energies, angles, momenta) tend to produce similar invariant masses. Implementation will use scikit-learn's KNeighborsRegressor, with k tuned via 5-fold cross-validation. Distance-weighted predictions (weights='distance') will also be evaluated, as closer neighbours in kinematic space should provide more relevant mass information. [Reference: Cover &amp; Hart, 1967]</w:t>
      </w:r>
    </w:p>
    <w:p>
      <w:pPr>
        <w:spacing w:after="80"/>
      </w:pPr>
      <w:r>
        <w:t xml:space="preserve"/>
      </w:r>
    </w:p>
    <w:p>
      <w:pPr>
        <w:pStyle w:val="Heading2"/>
      </w:pPr>
      <w:r>
        <w:rPr>
          <w:rFonts w:ascii="Arial" w:cs="Arial" w:eastAsia="Arial" w:hAnsi="Arial"/>
          <w:b/>
          <w:bCs/>
          <w:sz w:val="26"/>
          <w:szCs w:val="26"/>
        </w:rPr>
        <w:t xml:space="preserve">6.2 Support Vector Regression (SVR)</w:t>
      </w:r>
    </w:p>
    <w:p>
      <w:pPr>
        <w:spacing w:after="120"/>
      </w:pPr>
      <w:r>
        <w:rPr>
          <w:rFonts w:ascii="Arial" w:cs="Arial" w:eastAsia="Arial" w:hAnsi="Arial"/>
          <w:sz w:val="22"/>
          <w:szCs w:val="22"/>
        </w:rPr>
        <w:t xml:space="preserve">Support Vector Regression (SVR) extends the SVM framework to regression tasks. Rather than finding a separating hyperplane, SVR seeks a function that fits the data within a tube of width epsilon while minimising model complexity. Predictions outside the epsilon-tube are penalised by cost parameter C, which controls the trade-off between flatness of the regression function and tolerance of deviations. Kernel functions allow SVR to map inputs into higher-dimensional feature spaces, enabling it to capture non-linear relationships without explicitly computing high-dimensional feature vectors.</w:t>
      </w:r>
    </w:p>
    <w:p>
      <w:pPr>
        <w:spacing w:after="80"/>
      </w:pPr>
      <w:r>
        <w:t xml:space="preserve"/>
      </w:r>
    </w:p>
    <w:p>
      <w:pPr>
        <w:spacing w:after="120"/>
      </w:pPr>
      <w:r>
        <w:rPr>
          <w:rFonts w:ascii="Arial" w:cs="Arial" w:eastAsia="Arial" w:hAnsi="Arial"/>
          <w:sz w:val="22"/>
          <w:szCs w:val="22"/>
        </w:rPr>
        <w:t xml:space="preserve">The Radial Basis Function (RBF) kernel is the default choice and is well-suited to the continuous, non-linear feature-target relationships observed in EDA (the non-linear E vs M scatter). A polynomial kernel may also be tested given the quadratic nature of the invariant mass formula (M proportional to sqrt[(E1+E2)^2 - |p1+p2|^2]). SVR is sensitive to feature scaling, so it will be evaluated exclusively on standardised versions (V1–V4). Key hyperparameters C, epsilon, and gamma will be tuned via grid search.</w:t>
      </w:r>
    </w:p>
    <w:p>
      <w:pPr>
        <w:spacing w:after="80"/>
      </w:pPr>
      <w:r>
        <w:t xml:space="preserve"/>
      </w:r>
    </w:p>
    <w:p>
      <w:pPr>
        <w:spacing w:after="120"/>
      </w:pPr>
      <w:r>
        <w:rPr>
          <w:rFonts w:ascii="Arial" w:cs="Arial" w:eastAsia="Arial" w:hAnsi="Arial"/>
          <w:sz w:val="22"/>
          <w:szCs w:val="22"/>
        </w:rPr>
        <w:t xml:space="preserve">A key advantage of SVR is its robustness to outliers through the epsilon-insensitive loss: training points within the tube contribute zero loss. This is beneficial here since high-energy Z boson events form a distinct region that may otherwise dominate the loss landscape. Due to the O(n^2 to n^3) training complexity, SVR may be trained on a stratified subsample of 20,000 events if computational constraints require it. [Reference: Vapnik, 1995]</w:t>
      </w:r>
    </w:p>
    <w:p>
      <w:pPr>
        <w:spacing w:after="80"/>
      </w:pPr>
      <w:r>
        <w:t xml:space="preserve"/>
      </w:r>
    </w:p>
    <w:p>
      <w:pPr>
        <w:pStyle w:val="Heading2"/>
      </w:pPr>
      <w:r>
        <w:rPr>
          <w:rFonts w:ascii="Arial" w:cs="Arial" w:eastAsia="Arial" w:hAnsi="Arial"/>
          <w:b/>
          <w:bCs/>
          <w:sz w:val="26"/>
          <w:szCs w:val="26"/>
        </w:rPr>
        <w:t xml:space="preserve">6.3 Random Forest Regression</w:t>
      </w:r>
    </w:p>
    <w:p>
      <w:pPr>
        <w:spacing w:after="120"/>
      </w:pPr>
      <w:r>
        <w:rPr>
          <w:rFonts w:ascii="Arial" w:cs="Arial" w:eastAsia="Arial" w:hAnsi="Arial"/>
          <w:sz w:val="22"/>
          <w:szCs w:val="22"/>
        </w:rPr>
        <w:t xml:space="preserve">Random Forest is an ensemble learning method that builds many decision trees on bootstrap samples of the training data, with each tree trained on a random subset of features at each split. The regression prediction is the average of all individual tree predictions. This bagging strategy reduces variance without substantially increasing bias, typically outperforming single decision trees. Random Forest is robust to overfitting, handles non-linear relationships and feature interactions naturally, and is scale-invariant – requiring no feature normalisation.</w:t>
      </w:r>
    </w:p>
    <w:p>
      <w:pPr>
        <w:spacing w:after="80"/>
      </w:pPr>
      <w:r>
        <w:t xml:space="preserve"/>
      </w:r>
    </w:p>
    <w:p>
      <w:pPr>
        <w:spacing w:after="120"/>
      </w:pPr>
      <w:r>
        <w:rPr>
          <w:rFonts w:ascii="Arial" w:cs="Arial" w:eastAsia="Arial" w:hAnsi="Arial"/>
          <w:sz w:val="22"/>
          <w:szCs w:val="22"/>
        </w:rPr>
        <w:t xml:space="preserve">Random Forest also provides built-in feature importance scores based on mean decrease in impurity (MDI), which will be used to guide feature selection for subsequent modelling. Given the high E–pt collinearity in the dataset, MDI scores will reveal which correlated features are most predictive and guide feature pruning in future iterations. Out-of-bag (OOB) error estimates can also serve as a computationally cheap proxy for cross-validation performance.</w:t>
      </w:r>
    </w:p>
    <w:p>
      <w:pPr>
        <w:spacing w:after="80"/>
      </w:pPr>
      <w:r>
        <w:t xml:space="preserve"/>
      </w:r>
    </w:p>
    <w:p>
      <w:pPr>
        <w:spacing w:after="120"/>
      </w:pPr>
      <w:r>
        <w:rPr>
          <w:rFonts w:ascii="Arial" w:cs="Arial" w:eastAsia="Arial" w:hAnsi="Arial"/>
          <w:sz w:val="22"/>
          <w:szCs w:val="22"/>
        </w:rPr>
        <w:t xml:space="preserve">For dielectron mass regression, Random Forest is expected to be among the strongest baseline models due to its ability to capture the complex, multimodal structure of M across different resonance regions without feature transformations. It will be implemented using scikit-learn's RandomForestRegressor, with hyperparameters n_estimators, max_depth, and min_samples_split tuned via cross-validation. Feature importance rankings will also inform the V4 engineered feature evaluation. [Reference: Breiman, 2001]</w:t>
      </w:r>
    </w:p>
    <w:p>
      <w:pPr>
        <w:spacing w:after="80"/>
      </w:pPr>
      <w:r>
        <w:t xml:space="preserve"/>
      </w:r>
    </w:p>
    <w:p>
      <w:pPr>
        <w:pStyle w:val="Heading2"/>
      </w:pPr>
      <w:r>
        <w:rPr>
          <w:rFonts w:ascii="Arial" w:cs="Arial" w:eastAsia="Arial" w:hAnsi="Arial"/>
          <w:b/>
          <w:bCs/>
          <w:sz w:val="26"/>
          <w:szCs w:val="26"/>
        </w:rPr>
        <w:t xml:space="preserve">6.4 Gradient Boosting Regression (XGBoost)</w:t>
      </w:r>
    </w:p>
    <w:p>
      <w:pPr>
        <w:spacing w:after="120"/>
      </w:pPr>
      <w:r>
        <w:rPr>
          <w:rFonts w:ascii="Arial" w:cs="Arial" w:eastAsia="Arial" w:hAnsi="Arial"/>
          <w:sz w:val="22"/>
          <w:szCs w:val="22"/>
        </w:rPr>
        <w:t xml:space="preserve">Gradient Boosting builds an ensemble of decision trees sequentially, where each new tree is trained to correct the residual errors of the existing ensemble. Unlike Random Forest (parallel bagging), boosting is iterative: each tree fits the pseudo-residuals (negative gradient of the loss function) of the current ensemble, gradually reducing prediction errors. XGBoost (eXtreme Gradient Boosting) is a highly optimised and regularised implementation that adds L1 and L2 regularisation to the tree-building objective, controlling overfitting while maintaining high accuracy. It is widely considered one of the most effective methods for structured tabular regression problems.</w:t>
      </w:r>
    </w:p>
    <w:p>
      <w:pPr>
        <w:spacing w:after="80"/>
      </w:pPr>
      <w:r>
        <w:t xml:space="preserve"/>
      </w:r>
    </w:p>
    <w:p>
      <w:pPr>
        <w:spacing w:after="120"/>
      </w:pPr>
      <w:r>
        <w:rPr>
          <w:rFonts w:ascii="Arial" w:cs="Arial" w:eastAsia="Arial" w:hAnsi="Arial"/>
          <w:sz w:val="22"/>
          <w:szCs w:val="22"/>
        </w:rPr>
        <w:t xml:space="preserve">Key hyperparameters include: n_estimators (number of boosting rounds), learning_rate (shrinkage applied to each tree's contribution), max_depth (tree complexity), and subsampling ratios (subsample, colsample_bytree). XGBoost is scale-invariant like Random Forest; however, it particularly benefits from log-transformed targets (V3) because the squared-error loss treats all absolute errors equally, and a log transformation converts this to relative error minimisation across the wide M range.</w:t>
      </w:r>
    </w:p>
    <w:p>
      <w:pPr>
        <w:spacing w:after="80"/>
      </w:pPr>
      <w:r>
        <w:t xml:space="preserve"/>
      </w:r>
    </w:p>
    <w:p>
      <w:pPr>
        <w:spacing w:after="120"/>
      </w:pPr>
      <w:r>
        <w:rPr>
          <w:rFonts w:ascii="Arial" w:cs="Arial" w:eastAsia="Arial" w:hAnsi="Arial"/>
          <w:sz w:val="22"/>
          <w:szCs w:val="22"/>
        </w:rPr>
        <w:t xml:space="preserve">Given the non-linear, multimodal structure of M and the complex kinematic feature interactions, XGBoost is expected to achieve the highest predictive accuracy. It will be implemented via the xgboost Python library with early stopping on a validation set to prevent overfitting. SHAP (SHapley Additive exPlanations) values will optionally be computed post-training to identify which collision observables most strongly determine predicted invariant mass, providing interpretable physics insights alongside predictive accuracy. [References: Chen &amp; Guestrin, 2016; Lundberg &amp; Lee, 2017]</w:t>
      </w:r>
    </w:p>
    <w:p>
      <w:pPr>
        <w:spacing w:after="80"/>
      </w:pPr>
      <w:r>
        <w:t xml:space="preserve"/>
      </w:r>
    </w:p>
    <w:p>
      <w:pPr>
        <w:pStyle w:val="Heading2"/>
      </w:pPr>
      <w:r>
        <w:rPr>
          <w:rFonts w:ascii="Arial" w:cs="Arial" w:eastAsia="Arial" w:hAnsi="Arial"/>
          <w:b/>
          <w:bCs/>
          <w:sz w:val="26"/>
          <w:szCs w:val="26"/>
        </w:rPr>
        <w:t xml:space="preserve">6.5 Summary Comparison of Selected Techniques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360"/>
        <w:gridCol w:w="1400"/>
        <w:gridCol w:w="1700"/>
        <w:gridCol w:w="1400"/>
      </w:tblGrid>
      <w:tr>
        <w:trPr>
          <w:tblHeader/>
        </w:trPr>
        <w:tc>
          <w:tcPr>
            <w:tcW w:type="dxa" w:w="150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40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36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Scale Sensitive</w:t>
            </w:r>
          </w:p>
        </w:tc>
        <w:tc>
          <w:tcPr>
            <w:tcW w:type="dxa" w:w="140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Interpretable</w:t>
            </w:r>
          </w:p>
        </w:tc>
        <w:tc>
          <w:tcPr>
            <w:tcW w:type="dxa" w:w="170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Handles Non-linearity</w:t>
            </w:r>
          </w:p>
        </w:tc>
        <w:tc>
          <w:tcPr>
            <w:tcW w:type="dxa" w:w="1400"/>
            <w:tcBorders>
              <w:top w:val="single" w:color="2C5F8A" w:sz="1"/>
              <w:left w:val="single" w:color="2C5F8A" w:sz="1"/>
              <w:bottom w:val="single" w:color="2C5F8A" w:sz="1"/>
              <w:right w:val="single" w:color="2C5F8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Training Cost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KNN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Instance-based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Yes (critical)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O(n*d) predict</w:t>
            </w:r>
          </w:p>
        </w:tc>
      </w:tr>
      <w:tr>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left"/>
            </w:pPr>
            <w:r>
              <w:rPr>
                <w:rFonts w:ascii="Arial" w:cs="Arial" w:eastAsia="Arial" w:hAnsi="Arial"/>
                <w:sz w:val="20"/>
                <w:szCs w:val="20"/>
              </w:rPr>
              <w:t xml:space="preserve">SVR (RBF)</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Kernel method</w:t>
            </w:r>
          </w:p>
        </w:tc>
        <w:tc>
          <w:tcPr>
            <w:tcW w:type="dxa" w:w="1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Yes (critical)</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Yes (kernel)</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O(n^2 to n^3)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Random Forest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Ensemble (Bagging)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Medium (MDI)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O(n*d*log n)</w:t>
            </w:r>
          </w:p>
        </w:tc>
      </w:tr>
      <w:tr>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left"/>
            </w:pPr>
            <w:r>
              <w:rPr>
                <w:rFonts w:ascii="Arial" w:cs="Arial" w:eastAsia="Arial" w:hAnsi="Arial"/>
                <w:sz w:val="20"/>
                <w:szCs w:val="20"/>
              </w:rPr>
              <w:t xml:space="preserve">XGBoost</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Ensemble (Boosting)</w:t>
            </w:r>
          </w:p>
        </w:tc>
        <w:tc>
          <w:tcPr>
            <w:tcW w:type="dxa" w:w="1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Medium (SHAP)</w:t>
            </w:r>
          </w:p>
        </w:tc>
        <w:tc>
          <w:tcPr>
            <w:tcW w:type="dxa" w:w="17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Yes</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Arial" w:cs="Arial" w:eastAsia="Arial" w:hAnsi="Arial"/>
                <w:sz w:val="20"/>
                <w:szCs w:val="20"/>
              </w:rPr>
              <w:t xml:space="preserve">O(n*d*T)</w:t>
            </w:r>
          </w:p>
        </w:tc>
      </w:tr>
    </w:tbl>
    <w:p>
      <w:pPr>
        <w:spacing w:after="200"/>
        <w:jc w:val="center"/>
      </w:pPr>
      <w:r>
        <w:rPr>
          <w:rFonts w:ascii="Arial" w:cs="Arial" w:eastAsia="Arial" w:hAnsi="Arial"/>
          <w:i/>
          <w:iCs/>
          <w:color w:val="555555"/>
          <w:sz w:val="20"/>
          <w:szCs w:val="20"/>
        </w:rPr>
        <w:t xml:space="preserve">Table 6.1: Comparison of selected regression techniques (d = features, n = samples, T = trees)</w:t>
      </w:r>
    </w:p>
    <w:p>
      <w:r>
        <w:br w:type="page"/>
      </w:r>
    </w:p>
    <w:p>
      <w:pPr>
        <w:pStyle w:val="Heading1"/>
      </w:pPr>
      <w:r>
        <w:rPr>
          <w:rFonts w:ascii="Arial" w:cs="Arial" w:eastAsia="Arial" w:hAnsi="Arial"/>
          <w:b/>
          <w:bCs/>
          <w:sz w:val="32"/>
          <w:szCs w:val="32"/>
        </w:rPr>
        <w:t xml:space="preserve">7. References</w:t>
      </w:r>
    </w:p>
    <w:p>
      <w:pPr>
        <w:spacing w:after="100"/>
      </w:pPr>
      <w:r>
        <w:rPr>
          <w:rFonts w:ascii="Arial" w:cs="Arial" w:eastAsia="Arial" w:hAnsi="Arial"/>
          <w:sz w:val="22"/>
          <w:szCs w:val="22"/>
        </w:rPr>
        <w:t xml:space="preserve">[1] McCauley, T. (2014). Events with two electrons from 2010. CERN Open Data Portal. DOI: 10.7483/OPENDATA.CMS.PCSW.AHVG. Available at: http://opendata.cern.ch/record/304</w:t>
      </w:r>
    </w:p>
    <w:p>
      <w:pPr>
        <w:spacing w:after="80"/>
      </w:pPr>
      <w:r>
        <w:t xml:space="preserve"/>
      </w:r>
    </w:p>
    <w:p>
      <w:pPr>
        <w:spacing w:after="100"/>
      </w:pPr>
      <w:r>
        <w:rPr>
          <w:rFonts w:ascii="Arial" w:cs="Arial" w:eastAsia="Arial" w:hAnsi="Arial"/>
          <w:sz w:val="22"/>
          <w:szCs w:val="22"/>
        </w:rPr>
        <w:t xml:space="preserve">[2] Kilic, H., Ozturk, S., &amp; Yildirim, E. (2023). Machine learning model performances for the Z boson mass identification through dielectron decay channel. The European Physical Journal Plus, 138(1), 87. DOI: 10.1140/epjp/s13360-023-03675-1</w:t>
      </w:r>
    </w:p>
    <w:p>
      <w:pPr>
        <w:spacing w:after="80"/>
      </w:pPr>
      <w:r>
        <w:t xml:space="preserve"/>
      </w:r>
    </w:p>
    <w:p>
      <w:pPr>
        <w:spacing w:after="100"/>
      </w:pPr>
      <w:r>
        <w:rPr>
          <w:rFonts w:ascii="Arial" w:cs="Arial" w:eastAsia="Arial" w:hAnsi="Arial"/>
          <w:sz w:val="22"/>
          <w:szCs w:val="22"/>
        </w:rPr>
        <w:t xml:space="preserve">[3] Pedregosa, F., et al. (2011). Scikit-learn: Machine Learning in Python. Journal of Machine Learning Research, 12, 2825-2830.</w:t>
      </w:r>
    </w:p>
    <w:p>
      <w:pPr>
        <w:spacing w:after="80"/>
      </w:pPr>
      <w:r>
        <w:t xml:space="preserve"/>
      </w:r>
    </w:p>
    <w:p>
      <w:pPr>
        <w:spacing w:after="100"/>
      </w:pPr>
      <w:r>
        <w:rPr>
          <w:rFonts w:ascii="Arial" w:cs="Arial" w:eastAsia="Arial" w:hAnsi="Arial"/>
          <w:sz w:val="22"/>
          <w:szCs w:val="22"/>
        </w:rPr>
        <w:t xml:space="preserve">[4] Chen, T., &amp; Guestrin, C. (2016). XGBoost: A Scalable Tree Boosting System. Proceedings of the 22nd ACM SIGKDD Conference on Knowledge Discovery and Data Mining. DOI: 10.1145/2939672.2939785</w:t>
      </w:r>
    </w:p>
    <w:p>
      <w:pPr>
        <w:spacing w:after="80"/>
      </w:pPr>
      <w:r>
        <w:t xml:space="preserve"/>
      </w:r>
    </w:p>
    <w:p>
      <w:pPr>
        <w:spacing w:after="100"/>
      </w:pPr>
      <w:r>
        <w:rPr>
          <w:rFonts w:ascii="Arial" w:cs="Arial" w:eastAsia="Arial" w:hAnsi="Arial"/>
          <w:sz w:val="22"/>
          <w:szCs w:val="22"/>
        </w:rPr>
        <w:t xml:space="preserve">[5] Breiman, L. (2001). Random Forests. Machine Learning, 45(1), 5-32. DOI: 10.1023/A:1010933404324</w:t>
      </w:r>
    </w:p>
    <w:p>
      <w:pPr>
        <w:spacing w:after="80"/>
      </w:pPr>
      <w:r>
        <w:t xml:space="preserve"/>
      </w:r>
    </w:p>
    <w:p>
      <w:pPr>
        <w:spacing w:after="100"/>
      </w:pPr>
      <w:r>
        <w:rPr>
          <w:rFonts w:ascii="Arial" w:cs="Arial" w:eastAsia="Arial" w:hAnsi="Arial"/>
          <w:sz w:val="22"/>
          <w:szCs w:val="22"/>
        </w:rPr>
        <w:t xml:space="preserve">[6] Vapnik, V. (1995). The Nature of Statistical Learning Theory. Springer. DOI: 10.1007/978-1-4757-3264-1</w:t>
      </w:r>
    </w:p>
    <w:p>
      <w:pPr>
        <w:spacing w:after="80"/>
      </w:pPr>
      <w:r>
        <w:t xml:space="preserve"/>
      </w:r>
    </w:p>
    <w:p>
      <w:pPr>
        <w:spacing w:after="100"/>
      </w:pPr>
      <w:r>
        <w:rPr>
          <w:rFonts w:ascii="Arial" w:cs="Arial" w:eastAsia="Arial" w:hAnsi="Arial"/>
          <w:sz w:val="22"/>
          <w:szCs w:val="22"/>
        </w:rPr>
        <w:t xml:space="preserve">[7] Cover, T., &amp; Hart, P. (1967). Nearest neighbor pattern classification. IEEE Transactions on Information Theory, 13(1), 21-27. DOI: 10.1109/TIT.1967.1053964</w:t>
      </w:r>
    </w:p>
    <w:p>
      <w:pPr>
        <w:spacing w:after="80"/>
      </w:pPr>
      <w:r>
        <w:t xml:space="preserve"/>
      </w:r>
    </w:p>
    <w:p>
      <w:pPr>
        <w:spacing w:after="100"/>
      </w:pPr>
      <w:r>
        <w:rPr>
          <w:rFonts w:ascii="Arial" w:cs="Arial" w:eastAsia="Arial" w:hAnsi="Arial"/>
          <w:sz w:val="22"/>
          <w:szCs w:val="22"/>
        </w:rPr>
        <w:t xml:space="preserve">[8] James, G., Witten, D., Hastie, T., &amp; Tibshirani, R. (2021). An Introduction to Statistical Learning (2nd ed.). Springer. DOI: 10.1007/978-1-0716-1418-1</w:t>
      </w:r>
    </w:p>
    <w:p>
      <w:pPr>
        <w:spacing w:after="80"/>
      </w:pPr>
      <w:r>
        <w:t xml:space="preserve"/>
      </w:r>
    </w:p>
    <w:p>
      <w:pPr>
        <w:spacing w:after="100"/>
      </w:pPr>
      <w:r>
        <w:rPr>
          <w:rFonts w:ascii="Arial" w:cs="Arial" w:eastAsia="Arial" w:hAnsi="Arial"/>
          <w:sz w:val="22"/>
          <w:szCs w:val="22"/>
        </w:rPr>
        <w:t xml:space="preserve">[9] Lundberg, S. M., &amp; Lee, S.-I. (2017). A Unified Approach to Interpreting Model Predictions. Advances in Neural Information Processing Systems, 30.</w:t>
      </w:r>
    </w:p>
    <w:p>
      <w:pPr>
        <w:spacing w:after="80"/>
      </w:pPr>
      <w:r>
        <w:t xml:space="preserve"/>
      </w:r>
    </w:p>
    <w:p>
      <w:pPr>
        <w:spacing w:after="100"/>
      </w:pPr>
      <w:r>
        <w:rPr>
          <w:rFonts w:ascii="Arial" w:cs="Arial" w:eastAsia="Arial" w:hAnsi="Arial"/>
          <w:sz w:val="22"/>
          <w:szCs w:val="22"/>
        </w:rPr>
        <w:t xml:space="preserve">[10] Friedman, J. H. (2001). Greedy function approximation: A gradient boosting machine. The Annals of Statistics, 29(5), 1189-1232. DOI: 10.1214/aos/1013203451</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pPr>
    <w:r>
      <w:rPr>
        <w:rFonts w:ascii="Arial" w:cs="Arial" w:eastAsia="Arial" w:hAnsi="Arial"/>
        <w:color w:val="666666"/>
        <w:sz w:val="18"/>
        <w:szCs w:val="18"/>
      </w:rPr>
      <w:t xml:space="preserve">EPL448 – Deliverable 2   |   CERN Electron Collision Dataset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3864" w:sz="6" w:space="1"/>
      </w:pBd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5F8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2026-03-08T15:16:19.683Z</dcterms:created>
  <dcterms:modified xsi:type="dcterms:W3CDTF">2026-03-08T15:16:19.683Z</dcterms:modified>
</cp:coreProperties>
</file>

<file path=docProps/custom.xml><?xml version="1.0" encoding="utf-8"?>
<Properties xmlns="http://schemas.openxmlformats.org/officeDocument/2006/custom-properties" xmlns:vt="http://schemas.openxmlformats.org/officeDocument/2006/docPropsVTypes"/>
</file>