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12/1/25 Note:</w:t>
      </w:r>
    </w:p>
    <w:p w:rsidR="00000000" w:rsidDel="00000000" w:rsidP="00000000" w:rsidRDefault="00000000" w:rsidRPr="00000000" w14:paraId="00000002">
      <w:pPr>
        <w:rPr/>
      </w:pPr>
      <w:r w:rsidDel="00000000" w:rsidR="00000000" w:rsidRPr="00000000">
        <w:rPr>
          <w:rtl w:val="0"/>
        </w:rPr>
        <w:t xml:space="preserve">Apologies Moms! I’ve only been typing up the characters on the first page of the Chinese homework (i.e. “must be able to read”), but not the characters for practice on the subsequent pages (i.e. “must be able to write”).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don’t have the bandwidth to go back to correct Weeks 5 - 13, but I’ve added them in Week 15 and going forward.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was no homework for Week 14. Week 15’s words are also very similar to Week 13.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Karen</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