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c9067ef6eab266c91915e6ebd0519d9e815937"/>
    <w:p>
      <w:pPr>
        <w:pStyle w:val="Heading1"/>
      </w:pPr>
      <w:r>
        <w:t xml:space="preserve">Αλλαγές στα παραδοτέα ποιότητας · StudyRoom</w:t>
      </w:r>
    </w:p>
    <w:p>
      <w:pPr>
        <w:pStyle w:val="BlockText"/>
      </w:pPr>
      <w:r>
        <w:t xml:space="preserve">Καταγράφετε κάθε αλλαγή που οφείλεται σε νέα προδιαγραφή, απάντηση της βιβλιοθήκης ή εύρημα review. Ο πίνακας ιχνηλασιμότητας δείχνει ποια στοιχεία επηρεάζονται· εδώ καταγράφεται τι κάνατε.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640"/>
        <w:gridCol w:w="3606"/>
        <w:gridCol w:w="1913"/>
        <w:gridCol w:w="3705"/>
      </w:tblGrid>
      <w:tr>
        <w:trPr>
          <w:tblHeader w:val="true"/>
        </w:trPr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Εβδομάδα</w:t>
            </w:r>
          </w:p>
        </w:tc>
        <w:tc>
          <w:tcPr>
            <w:tcW w:w="3606" w:type="dxa"/>
          </w:tcPr>
          <w:p>
            <w:pPr>
              <w:pStyle w:val="Compact"/>
              <w:jc w:val="left"/>
            </w:pPr>
            <w:r>
              <w:t xml:space="preserve">Αιτία (προδιαγραφή, απάντηση βιβλιοθήκης, review)</w:t>
            </w:r>
          </w:p>
        </w:tc>
        <w:tc>
          <w:tcPr>
            <w:tcW w:w="1913" w:type="dxa"/>
          </w:tcPr>
          <w:p>
            <w:pPr>
              <w:pStyle w:val="Compact"/>
              <w:jc w:val="left"/>
            </w:pPr>
            <w:r>
              <w:t xml:space="preserve">Τι άλλαξε</w:t>
            </w:r>
          </w:p>
        </w:tc>
        <w:tc>
          <w:tcPr>
            <w:tcW w:w="3705" w:type="dxa"/>
          </w:tcPr>
          <w:p>
            <w:pPr>
              <w:pStyle w:val="Compact"/>
              <w:jc w:val="left"/>
            </w:pPr>
            <w:r>
              <w:t xml:space="preserve">Επηρεαζόμενα στοιχεία (R-xx, FR-xx, σενάρια, tests)</w:t>
            </w:r>
          </w:p>
        </w:tc>
      </w:tr>
      <w:tr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w02</w:t>
            </w:r>
          </w:p>
        </w:tc>
        <w:tc>
          <w:tcPr>
            <w:tcW w:w="3606" w:type="dxa"/>
          </w:tcPr>
          <w:p>
            <w:pPr>
              <w:pStyle w:val="Compact"/>
            </w:pPr>
          </w:p>
        </w:tc>
        <w:tc>
          <w:tcPr>
            <w:tcW w:w="1913" w:type="dxa"/>
          </w:tcPr>
          <w:p>
            <w:pPr>
              <w:pStyle w:val="Compact"/>
            </w:pPr>
          </w:p>
        </w:tc>
        <w:tc>
          <w:tcPr>
            <w:tcW w:w="3705" w:type="dxa"/>
          </w:tcPr>
          <w:p>
            <w:pPr>
              <w:pStyle w:val="Compact"/>
            </w:pP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proofState w:spelling="clean" w:grammar="clean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1"/>
        <w:szCs w:val="21"/>
        <w:lang w:bidi="ar-SA" w:eastAsia="en-US" w:val="el-G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6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240"/>
      <w:outlineLvl w:val="0"/>
    </w:pPr>
    <w:rPr>
      <w:rFonts w:ascii="Calibri" w:cs="Calibri" w:eastAsia="Calibri" w:hAnsi="Calibri"/>
      <w:b/>
      <w:bCs/>
      <w:color w:val="18212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40"/>
      <w:outlineLvl w:val="1"/>
    </w:pPr>
    <w:rPr>
      <w:rFonts w:ascii="Calibri" w:cs="Calibri" w:eastAsia="Calibri" w:hAnsi="Calibri"/>
      <w:b/>
      <w:bCs/>
      <w:color w:val="1D5A9E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80"/>
      <w:outlineLvl w:val="2"/>
    </w:pPr>
    <w:rPr>
      <w:rFonts w:ascii="Calibri" w:cs="Calibri" w:eastAsia="Calibri" w:hAnsi="Calibri"/>
      <w:b/>
      <w:bCs/>
      <w:color w:val="394452"/>
      <w:sz w:val="22"/>
      <w:szCs w:val="22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cs="Calibri" w:eastAsia="Calibr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cs="Calibri" w:eastAsia="Calibr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D5A9E" w:space="6" w:sz="18" w:val="single"/>
      </w:pBdr>
      <w:shd w:color="auto" w:fill="EEF2F7" w:val="clear"/>
      <w:spacing w:after="80" w:before="80"/>
      <w:ind w:firstLine="0" w:left="200" w:right="120"/>
    </w:pPr>
    <w:rPr>
      <w:i/>
      <w:color w:val="4A5563"/>
      <w:sz w:val="19"/>
      <w:szCs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8"/>
      <w:szCs w:val="18"/>
    </w:rPr>
    <w:tblPr>
      <w:tblInd w:type="dxa" w:w="0"/>
      <w:tblBorders>
        <w:top w:color="BFC7D1" w:sz="4" w:val="single"/>
        <w:left w:color="BFC7D1" w:sz="4" w:val="single"/>
        <w:bottom w:color="BFC7D1" w:sz="4" w:val="single"/>
        <w:right w:color="BFC7D1" w:sz="4" w:val="single"/>
        <w:insideH w:color="BFC7D1" w:sz="4" w:val="single"/>
        <w:insideV w:color="BFC7D1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  <w:color w:val="FFFFFF"/>
      </w:rPr>
      <w:tblPr>
        <w:jc w:val="left"/>
        <w:tblInd w:type="dxa" w:w="0"/>
      </w:tblPr>
      <w:trPr>
        <w:jc w:val="left"/>
      </w:trPr>
      <w:tcPr>
        <w:shd w:color="auto" w:fill="1F2A37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2026-10-04T06:33:30Z</dcterms:created>
  <dcterms:modified xsi:type="dcterms:W3CDTF">2026-10-04T06:33:30Z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