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181ac0794c9fc9ea4c2f04d5f5cc512a3a317a"/>
    <w:p>
      <w:pPr>
        <w:pStyle w:val="Heading1"/>
      </w:pPr>
      <w:r>
        <w:t xml:space="preserve">Εβδομάδα 3 · Μοντέλο ποιότητας και σχέδιο διασφάλισης ποιότητας · StudyRoom</w:t>
      </w:r>
    </w:p>
    <w:p>
      <w:pPr>
        <w:pStyle w:val="BlockText"/>
      </w:pPr>
      <w:r>
        <w:t xml:space="preserve">Πρότυπα αναφοράς: ISO/IEC 25010 (μοντέλο ποιότητας προϊόντος, εννέα χαρακτηριστικά, και μοντέλο ποιότητας κατά τη χρήση) · ISO/IEC 25030 (απαιτήσεις ποιότητας: από ανάγκες ενδιαφερόμενων μερών σε μετρήσιμες απαιτήσεις) · IEEE 730 (διεργασίες διασφάλισης ποιότητας λογισμικού, περίγραμμα σχεδίου SQA). Το σχέδιο διασφάλισης είναι συντομευμένο: παραλείπονται οι ενότητες για συμβάσεις, προμηθευτές και κίνδυνο απάτης.</w:t>
      </w:r>
    </w:p>
    <w:p>
      <w:pPr>
        <w:pStyle w:val="FirstParagraph"/>
      </w:pPr>
      <w:r>
        <w:rPr>
          <w:bCs/>
          <w:b/>
        </w:rPr>
        <w:t xml:space="preserve">Ομάδα:</w:t>
      </w:r>
      <w:r>
        <w:t xml:space="preserve"> </w:t>
      </w:r>
      <w:r>
        <w:t xml:space="preserve">[ονόματα, ΑΜ] ·</w:t>
      </w:r>
      <w:r>
        <w:t xml:space="preserve"> </w:t>
      </w:r>
      <w:r>
        <w:rPr>
          <w:bCs/>
          <w:b/>
        </w:rPr>
        <w:t xml:space="preserve">Έκδοση:</w:t>
      </w:r>
      <w:r>
        <w:t xml:space="preserve"> </w:t>
      </w:r>
      <w:r>
        <w:t xml:space="preserve">w03 ·</w:t>
      </w:r>
      <w:r>
        <w:t xml:space="preserve"> </w:t>
      </w:r>
      <w:r>
        <w:rPr>
          <w:bCs/>
          <w:b/>
        </w:rPr>
        <w:t xml:space="preserve">Συμβολή ανά μέλος:</w:t>
      </w:r>
      <w:r>
        <w:t xml:space="preserve"> </w:t>
      </w:r>
      <w:r>
        <w:t xml:space="preserve">[ποιος απάντησε σε ποιο ερώτημα]</w:t>
      </w:r>
    </w:p>
    <w:bookmarkStart w:id="24" w:name="μέρος-α--μοντέλο-ποιότητας"/>
    <w:p>
      <w:pPr>
        <w:pStyle w:val="Heading2"/>
      </w:pPr>
      <w:r>
        <w:t xml:space="preserve">Μέρος Α · Μοντέλο ποιότητας</w:t>
      </w:r>
    </w:p>
    <w:bookmarkStart w:id="20" w:name="α1-προσαρμοσμένο-μοντέλο"/>
    <w:p>
      <w:pPr>
        <w:pStyle w:val="Heading3"/>
      </w:pPr>
      <w:r>
        <w:t xml:space="preserve">Α.1 Προσαρμοσμένο μοντέλο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1605"/>
        <w:gridCol w:w="1892"/>
        <w:gridCol w:w="860"/>
        <w:gridCol w:w="5507"/>
      </w:tblGrid>
      <w:tr>
        <w:trPr>
          <w:tblHeader w:val="true"/>
        </w:trPr>
        <w:tc>
          <w:tcPr>
            <w:tcW w:w="1605" w:type="dxa"/>
          </w:tcPr>
          <w:p>
            <w:pPr>
              <w:pStyle w:val="Compact"/>
              <w:jc w:val="left"/>
            </w:pPr>
            <w:r>
              <w:t xml:space="preserve">Χαρακτηριστικό ISO/IEC 25010</w:t>
            </w:r>
          </w:p>
        </w:tc>
        <w:tc>
          <w:tcPr>
            <w:tcW w:w="1892" w:type="dxa"/>
          </w:tcPr>
          <w:p>
            <w:pPr>
              <w:pStyle w:val="Compact"/>
              <w:jc w:val="left"/>
            </w:pPr>
            <w:r>
              <w:t xml:space="preserve">Υποχαρακτηριστικά που μας αφορούν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t xml:space="preserve">Σημασία (Υ/Μ/Χ)</w:t>
            </w:r>
          </w:p>
        </w:tc>
        <w:tc>
          <w:tcPr>
            <w:tcW w:w="5507" w:type="dxa"/>
          </w:tcPr>
          <w:p>
            <w:pPr>
              <w:pStyle w:val="Compact"/>
              <w:jc w:val="left"/>
            </w:pPr>
            <w:r>
              <w:t xml:space="preserve">Αιτιολόγηση από κινδύνους και ενδιαφερόμενα μέρη</w:t>
            </w:r>
          </w:p>
        </w:tc>
      </w:tr>
      <w:tr>
        <w:tc>
          <w:tcPr>
            <w:tcW w:w="1605" w:type="dxa"/>
          </w:tcPr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>
            <w:tcW w:w="1892" w:type="dxa"/>
          </w:tcPr>
          <w:p>
            <w:pPr>
              <w:pStyle w:val="Compact"/>
            </w:pPr>
          </w:p>
        </w:tc>
        <w:tc>
          <w:tcPr>
            <w:tcW w:w="860" w:type="dxa"/>
          </w:tcPr>
          <w:p>
            <w:pPr>
              <w:pStyle w:val="Compact"/>
            </w:pPr>
          </w:p>
        </w:tc>
        <w:tc>
          <w:tcPr>
            <w:tcW w:w="5507" w:type="dxa"/>
          </w:tcPr>
          <w:p>
            <w:pPr>
              <w:pStyle w:val="Compact"/>
            </w:pPr>
          </w:p>
        </w:tc>
      </w:tr>
      <w:tr>
        <w:tc>
          <w:tcPr>
            <w:tcW w:w="1605" w:type="dxa"/>
          </w:tcPr>
          <w:p>
            <w:pPr>
              <w:pStyle w:val="Compact"/>
              <w:jc w:val="left"/>
            </w:pPr>
            <w:r>
              <w:t xml:space="preserve">Performance efficiency</w:t>
            </w:r>
          </w:p>
        </w:tc>
        <w:tc>
          <w:tcPr>
            <w:tcW w:w="1892" w:type="dxa"/>
          </w:tcPr>
          <w:p>
            <w:pPr>
              <w:pStyle w:val="Compact"/>
            </w:pPr>
          </w:p>
        </w:tc>
        <w:tc>
          <w:tcPr>
            <w:tcW w:w="860" w:type="dxa"/>
          </w:tcPr>
          <w:p>
            <w:pPr>
              <w:pStyle w:val="Compact"/>
            </w:pPr>
          </w:p>
        </w:tc>
        <w:tc>
          <w:tcPr>
            <w:tcW w:w="5507" w:type="dxa"/>
          </w:tcPr>
          <w:p>
            <w:pPr>
              <w:pStyle w:val="Compact"/>
            </w:pPr>
          </w:p>
        </w:tc>
      </w:tr>
      <w:tr>
        <w:tc>
          <w:tcPr>
            <w:tcW w:w="1605" w:type="dxa"/>
          </w:tcPr>
          <w:p>
            <w:pPr>
              <w:pStyle w:val="Compact"/>
              <w:jc w:val="left"/>
            </w:pPr>
            <w:r>
              <w:t xml:space="preserve">Compatibility</w:t>
            </w:r>
          </w:p>
        </w:tc>
        <w:tc>
          <w:tcPr>
            <w:tcW w:w="1892" w:type="dxa"/>
          </w:tcPr>
          <w:p>
            <w:pPr>
              <w:pStyle w:val="Compact"/>
            </w:pPr>
          </w:p>
        </w:tc>
        <w:tc>
          <w:tcPr>
            <w:tcW w:w="860" w:type="dxa"/>
          </w:tcPr>
          <w:p>
            <w:pPr>
              <w:pStyle w:val="Compact"/>
            </w:pPr>
          </w:p>
        </w:tc>
        <w:tc>
          <w:tcPr>
            <w:tcW w:w="5507" w:type="dxa"/>
          </w:tcPr>
          <w:p>
            <w:pPr>
              <w:pStyle w:val="Compact"/>
            </w:pPr>
          </w:p>
        </w:tc>
      </w:tr>
      <w:tr>
        <w:tc>
          <w:tcPr>
            <w:tcW w:w="1605" w:type="dxa"/>
          </w:tcPr>
          <w:p>
            <w:pPr>
              <w:pStyle w:val="Compact"/>
              <w:jc w:val="left"/>
            </w:pPr>
            <w:r>
              <w:t xml:space="preserve">Interaction capability</w:t>
            </w:r>
          </w:p>
        </w:tc>
        <w:tc>
          <w:tcPr>
            <w:tcW w:w="1892" w:type="dxa"/>
          </w:tcPr>
          <w:p>
            <w:pPr>
              <w:pStyle w:val="Compact"/>
            </w:pPr>
          </w:p>
        </w:tc>
        <w:tc>
          <w:tcPr>
            <w:tcW w:w="860" w:type="dxa"/>
          </w:tcPr>
          <w:p>
            <w:pPr>
              <w:pStyle w:val="Compact"/>
            </w:pPr>
          </w:p>
        </w:tc>
        <w:tc>
          <w:tcPr>
            <w:tcW w:w="5507" w:type="dxa"/>
          </w:tcPr>
          <w:p>
            <w:pPr>
              <w:pStyle w:val="Compact"/>
            </w:pPr>
          </w:p>
        </w:tc>
      </w:tr>
      <w:tr>
        <w:tc>
          <w:tcPr>
            <w:tcW w:w="1605" w:type="dxa"/>
          </w:tcPr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>
            <w:tcW w:w="1892" w:type="dxa"/>
          </w:tcPr>
          <w:p>
            <w:pPr>
              <w:pStyle w:val="Compact"/>
            </w:pPr>
          </w:p>
        </w:tc>
        <w:tc>
          <w:tcPr>
            <w:tcW w:w="860" w:type="dxa"/>
          </w:tcPr>
          <w:p>
            <w:pPr>
              <w:pStyle w:val="Compact"/>
            </w:pPr>
          </w:p>
        </w:tc>
        <w:tc>
          <w:tcPr>
            <w:tcW w:w="5507" w:type="dxa"/>
          </w:tcPr>
          <w:p>
            <w:pPr>
              <w:pStyle w:val="Compact"/>
            </w:pPr>
          </w:p>
        </w:tc>
      </w:tr>
      <w:tr>
        <w:tc>
          <w:tcPr>
            <w:tcW w:w="1605" w:type="dxa"/>
          </w:tcPr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>
            <w:tcW w:w="1892" w:type="dxa"/>
          </w:tcPr>
          <w:p>
            <w:pPr>
              <w:pStyle w:val="Compact"/>
            </w:pPr>
          </w:p>
        </w:tc>
        <w:tc>
          <w:tcPr>
            <w:tcW w:w="860" w:type="dxa"/>
          </w:tcPr>
          <w:p>
            <w:pPr>
              <w:pStyle w:val="Compact"/>
            </w:pPr>
          </w:p>
        </w:tc>
        <w:tc>
          <w:tcPr>
            <w:tcW w:w="5507" w:type="dxa"/>
          </w:tcPr>
          <w:p>
            <w:pPr>
              <w:pStyle w:val="Compact"/>
            </w:pPr>
          </w:p>
        </w:tc>
      </w:tr>
      <w:tr>
        <w:tc>
          <w:tcPr>
            <w:tcW w:w="1605" w:type="dxa"/>
          </w:tcPr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>
            <w:tcW w:w="1892" w:type="dxa"/>
          </w:tcPr>
          <w:p>
            <w:pPr>
              <w:pStyle w:val="Compact"/>
            </w:pPr>
          </w:p>
        </w:tc>
        <w:tc>
          <w:tcPr>
            <w:tcW w:w="860" w:type="dxa"/>
          </w:tcPr>
          <w:p>
            <w:pPr>
              <w:pStyle w:val="Compact"/>
            </w:pPr>
          </w:p>
        </w:tc>
        <w:tc>
          <w:tcPr>
            <w:tcW w:w="5507" w:type="dxa"/>
          </w:tcPr>
          <w:p>
            <w:pPr>
              <w:pStyle w:val="Compact"/>
            </w:pPr>
          </w:p>
        </w:tc>
      </w:tr>
      <w:tr>
        <w:tc>
          <w:tcPr>
            <w:tcW w:w="1605" w:type="dxa"/>
          </w:tcPr>
          <w:p>
            <w:pPr>
              <w:pStyle w:val="Compact"/>
              <w:jc w:val="left"/>
            </w:pPr>
            <w:r>
              <w:t xml:space="preserve">Flexibility</w:t>
            </w:r>
          </w:p>
        </w:tc>
        <w:tc>
          <w:tcPr>
            <w:tcW w:w="1892" w:type="dxa"/>
          </w:tcPr>
          <w:p>
            <w:pPr>
              <w:pStyle w:val="Compact"/>
            </w:pPr>
          </w:p>
        </w:tc>
        <w:tc>
          <w:tcPr>
            <w:tcW w:w="860" w:type="dxa"/>
          </w:tcPr>
          <w:p>
            <w:pPr>
              <w:pStyle w:val="Compact"/>
            </w:pPr>
          </w:p>
        </w:tc>
        <w:tc>
          <w:tcPr>
            <w:tcW w:w="5507" w:type="dxa"/>
          </w:tcPr>
          <w:p>
            <w:pPr>
              <w:pStyle w:val="Compact"/>
            </w:pPr>
          </w:p>
        </w:tc>
      </w:tr>
      <w:tr>
        <w:tc>
          <w:tcPr>
            <w:tcW w:w="1605" w:type="dxa"/>
          </w:tcPr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>
            <w:tcW w:w="1892" w:type="dxa"/>
          </w:tcPr>
          <w:p>
            <w:pPr>
              <w:pStyle w:val="Compact"/>
            </w:pPr>
          </w:p>
        </w:tc>
        <w:tc>
          <w:tcPr>
            <w:tcW w:w="860" w:type="dxa"/>
          </w:tcPr>
          <w:p>
            <w:pPr>
              <w:pStyle w:val="Compact"/>
            </w:pPr>
          </w:p>
        </w:tc>
        <w:tc>
          <w:tcPr>
            <w:tcW w:w="5507" w:type="dxa"/>
          </w:tcPr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Όλα τα χαρακτηριστικά εμφανίζονται, ακόμη κι αν κρίνετε ότι κάποιο είναι χαμηλής σημασίας· η αιτιολόγηση της χαμηλής σημασίας είναι μέρος της δουλειάς.</w:t>
      </w:r>
    </w:p>
    <w:bookmarkEnd w:id="20"/>
    <w:bookmarkStart w:id="21" w:name="α2-ποιότητα-κατά-τη-χρήση"/>
    <w:p>
      <w:pPr>
        <w:pStyle w:val="Heading3"/>
      </w:pPr>
      <w:r>
        <w:t xml:space="preserve">Α.2 Ποιότητα κατά τη χρήση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1131"/>
        <w:gridCol w:w="4853"/>
        <w:gridCol w:w="3880"/>
      </w:tblGrid>
      <w:tr>
        <w:trPr>
          <w:tblHeader w:val="true"/>
        </w:trPr>
        <w:tc>
          <w:tcPr>
            <w:tcW w:w="1131" w:type="dxa"/>
          </w:tcPr>
          <w:p>
            <w:pPr>
              <w:pStyle w:val="Compact"/>
              <w:jc w:val="left"/>
            </w:pPr>
            <w:r>
              <w:t xml:space="preserve">Χαρακτηριστικό</w:t>
            </w:r>
          </w:p>
        </w:tc>
        <w:tc>
          <w:tcPr>
            <w:tcW w:w="4853" w:type="dxa"/>
          </w:tcPr>
          <w:p>
            <w:pPr>
              <w:pStyle w:val="Compact"/>
              <w:jc w:val="left"/>
            </w:pPr>
            <w:r>
              <w:t xml:space="preserve">Τι σημαίνει για το StudyRoom</w:t>
            </w:r>
          </w:p>
        </w:tc>
        <w:tc>
          <w:tcPr>
            <w:tcW w:w="3880" w:type="dxa"/>
          </w:tcPr>
          <w:p>
            <w:pPr>
              <w:pStyle w:val="Compact"/>
              <w:jc w:val="left"/>
            </w:pPr>
            <w:r>
              <w:t xml:space="preserve">Πώς θα το παρατηρούσαμε στην πιλοτική λειτουργία</w:t>
            </w:r>
          </w:p>
        </w:tc>
      </w:tr>
      <w:tr>
        <w:tc>
          <w:tcPr>
            <w:tcW w:w="1131" w:type="dxa"/>
          </w:tcPr>
          <w:p>
            <w:pPr>
              <w:pStyle w:val="Compact"/>
            </w:pPr>
          </w:p>
        </w:tc>
        <w:tc>
          <w:tcPr>
            <w:tcW w:w="4853" w:type="dxa"/>
          </w:tcPr>
          <w:p>
            <w:pPr>
              <w:pStyle w:val="Compact"/>
            </w:pPr>
          </w:p>
        </w:tc>
        <w:tc>
          <w:tcPr>
            <w:tcW w:w="3880" w:type="dxa"/>
          </w:tcPr>
          <w:p>
            <w:pPr>
              <w:pStyle w:val="Compact"/>
            </w:pPr>
          </w:p>
        </w:tc>
      </w:tr>
    </w:tbl>
    <w:bookmarkEnd w:id="21"/>
    <w:bookmarkStart w:id="22" w:name="Xa38c8fb6c0b1b8983e97182007b9aa6cbe0e45d"/>
    <w:p>
      <w:pPr>
        <w:pStyle w:val="Heading3"/>
      </w:pPr>
      <w:r>
        <w:t xml:space="preserve">Α.3 Αντιστοίχιση απαιτήσεων σε χαρακτηριστικά</w:t>
      </w:r>
    </w:p>
    <w:p>
      <w:pPr>
        <w:pStyle w:val="BlockText"/>
      </w:pPr>
      <w:r>
        <w:t xml:space="preserve">Κάθε απαίτηση του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αντιστοιχίζεται σε χαρακτηριστικό και υποχαρακτηριστικό. Χαρακτηριστικά υψηλής σημασίας χωρίς απαίτηση είναι εύρημα.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4306"/>
        <w:gridCol w:w="2510"/>
        <w:gridCol w:w="3048"/>
      </w:tblGrid>
      <w:tr>
        <w:trPr>
          <w:tblHeader w:val="true"/>
        </w:trPr>
        <w:tc>
          <w:tcPr>
            <w:tcW w:w="4306" w:type="dxa"/>
          </w:tcPr>
          <w:p>
            <w:pPr>
              <w:pStyle w:val="Compact"/>
              <w:jc w:val="left"/>
            </w:pPr>
            <w:r>
              <w:t xml:space="preserve">Απαίτηση</w:t>
            </w:r>
          </w:p>
        </w:tc>
        <w:tc>
          <w:tcPr>
            <w:tcW w:w="2510" w:type="dxa"/>
          </w:tcPr>
          <w:p>
            <w:pPr>
              <w:pStyle w:val="Compact"/>
              <w:jc w:val="left"/>
            </w:pPr>
            <w:r>
              <w:t xml:space="preserve">Χαρακτηριστικό</w:t>
            </w:r>
          </w:p>
        </w:tc>
        <w:tc>
          <w:tcPr>
            <w:tcW w:w="3048" w:type="dxa"/>
          </w:tcPr>
          <w:p>
            <w:pPr>
              <w:pStyle w:val="Compact"/>
              <w:jc w:val="left"/>
            </w:pPr>
            <w:r>
              <w:t xml:space="preserve">Υποχαρακτηριστικό</w:t>
            </w:r>
          </w:p>
        </w:tc>
      </w:tr>
      <w:tr>
        <w:tc>
          <w:tcPr>
            <w:tcW w:w="4306" w:type="dxa"/>
          </w:tcPr>
          <w:p>
            <w:pPr>
              <w:pStyle w:val="Compact"/>
            </w:pPr>
          </w:p>
        </w:tc>
        <w:tc>
          <w:tcPr>
            <w:tcW w:w="2510" w:type="dxa"/>
          </w:tcPr>
          <w:p>
            <w:pPr>
              <w:pStyle w:val="Compact"/>
            </w:pPr>
          </w:p>
        </w:tc>
        <w:tc>
          <w:tcPr>
            <w:tcW w:w="3048" w:type="dxa"/>
          </w:tcPr>
          <w:p>
            <w:pPr>
              <w:pStyle w:val="Compact"/>
            </w:pPr>
          </w:p>
        </w:tc>
      </w:tr>
    </w:tbl>
    <w:bookmarkEnd w:id="22"/>
    <w:bookmarkStart w:id="23" w:name="Xaa411a866777068d00e7a8366712381e6f03ae5"/>
    <w:p>
      <w:pPr>
        <w:pStyle w:val="Heading3"/>
      </w:pPr>
      <w:r>
        <w:t xml:space="preserve">Α.4 Συγκρούσεις χαρακτηριστικών (trade-offs)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1722"/>
        <w:gridCol w:w="1878"/>
        <w:gridCol w:w="2661"/>
        <w:gridCol w:w="3603"/>
      </w:tblGrid>
      <w:tr>
        <w:trPr>
          <w:tblHeader w:val="true"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t xml:space="preserve">Βελτιώνεται</w:t>
            </w:r>
          </w:p>
        </w:tc>
        <w:tc>
          <w:tcPr>
            <w:tcW w:w="1878" w:type="dxa"/>
          </w:tcPr>
          <w:p>
            <w:pPr>
              <w:pStyle w:val="Compact"/>
              <w:jc w:val="left"/>
            </w:pPr>
            <w:r>
              <w:t xml:space="preserve">Χειροτερεύει</w:t>
            </w:r>
          </w:p>
        </w:tc>
        <w:tc>
          <w:tcPr>
            <w:tcW w:w="2661" w:type="dxa"/>
          </w:tcPr>
          <w:p>
            <w:pPr>
              <w:pStyle w:val="Compact"/>
              <w:jc w:val="left"/>
            </w:pPr>
            <w:r>
              <w:t xml:space="preserve">Πού στο StudyRoom</w:t>
            </w:r>
          </w:p>
        </w:tc>
        <w:tc>
          <w:tcPr>
            <w:tcW w:w="3603" w:type="dxa"/>
          </w:tcPr>
          <w:p>
            <w:pPr>
              <w:pStyle w:val="Compact"/>
              <w:jc w:val="left"/>
            </w:pPr>
            <w:r>
              <w:t xml:space="preserve">Απόφαση και αιτιολόγηση</w:t>
            </w:r>
          </w:p>
        </w:tc>
      </w:tr>
      <w:tr>
        <w:tc>
          <w:tcPr>
            <w:tcW w:w="1722" w:type="dxa"/>
          </w:tcPr>
          <w:p>
            <w:pPr>
              <w:pStyle w:val="Compact"/>
            </w:pPr>
          </w:p>
        </w:tc>
        <w:tc>
          <w:tcPr>
            <w:tcW w:w="1878" w:type="dxa"/>
          </w:tcPr>
          <w:p>
            <w:pPr>
              <w:pStyle w:val="Compact"/>
            </w:pPr>
          </w:p>
        </w:tc>
        <w:tc>
          <w:tcPr>
            <w:tcW w:w="2661" w:type="dxa"/>
          </w:tcPr>
          <w:p>
            <w:pPr>
              <w:pStyle w:val="Compact"/>
            </w:pPr>
          </w:p>
        </w:tc>
        <w:tc>
          <w:tcPr>
            <w:tcW w:w="3603" w:type="dxa"/>
          </w:tcPr>
          <w:p>
            <w:pPr>
              <w:pStyle w:val="Compact"/>
            </w:pPr>
          </w:p>
        </w:tc>
      </w:tr>
    </w:tbl>
    <w:bookmarkEnd w:id="23"/>
    <w:bookmarkEnd w:id="24"/>
    <w:bookmarkStart w:id="32" w:name="Xe99e9e615d50894a0da5e7ef5205c3865fb87c8"/>
    <w:p>
      <w:pPr>
        <w:pStyle w:val="Heading2"/>
      </w:pPr>
      <w:r>
        <w:t xml:space="preserve">Μέρος Β · Σχέδιο διασφάλισης ποιότητας (βάσει IEEE 730)</w:t>
      </w:r>
    </w:p>
    <w:bookmarkStart w:id="25" w:name="β1-σκοπός-και-εύρος"/>
    <w:p>
      <w:pPr>
        <w:pStyle w:val="Heading3"/>
      </w:pPr>
      <w:r>
        <w:t xml:space="preserve">Β.1 Σκοπός και εύρος</w:t>
      </w:r>
    </w:p>
    <w:bookmarkEnd w:id="25"/>
    <w:bookmarkStart w:id="26" w:name="β2-οργάνωση-και-ανεξαρτησία"/>
    <w:p>
      <w:pPr>
        <w:pStyle w:val="Heading3"/>
      </w:pPr>
      <w:r>
        <w:t xml:space="preserve">Β.2 Οργάνωση και ανεξαρτησία</w:t>
      </w:r>
    </w:p>
    <w:p>
      <w:pPr>
        <w:pStyle w:val="BlockText"/>
      </w:pPr>
      <w:r>
        <w:t xml:space="preserve">Ρόλοι στην ομάδα σας, ποιος κάνει review σε τι, πώς εξασφαλίζεται ότι κανείς δεν ελέγχει μόνος τη δουλειά του.</w:t>
      </w:r>
    </w:p>
    <w:bookmarkEnd w:id="26"/>
    <w:bookmarkStart w:id="27" w:name="β3-κίνδυνοι-προϊόντος"/>
    <w:p>
      <w:pPr>
        <w:pStyle w:val="Heading3"/>
      </w:pPr>
      <w:r>
        <w:t xml:space="preserve">Β.3 Κίνδυνοι προϊόντος</w:t>
      </w:r>
    </w:p>
    <w:p>
      <w:pPr>
        <w:pStyle w:val="BlockText"/>
      </w:pPr>
      <w:r>
        <w:t xml:space="preserve">Αναφορά στο μητρώο κινδύνων· οι κίνδυνοι υψηλής και κρίσιμης προτεραιότητας με τη στρατηγική τους.</w:t>
      </w:r>
    </w:p>
    <w:bookmarkEnd w:id="27"/>
    <w:bookmarkStart w:id="28" w:name="β4-πρότυπα-πρακτικές-και-εργαλεία"/>
    <w:p>
      <w:pPr>
        <w:pStyle w:val="Heading3"/>
      </w:pPr>
      <w:r>
        <w:t xml:space="preserve">Β.4 Πρότυπα, πρακτικές και εργαλεία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1541"/>
        <w:gridCol w:w="5395"/>
        <w:gridCol w:w="2928"/>
      </w:tblGrid>
      <w:tr>
        <w:trPr>
          <w:tblHeader w:val="true"/>
        </w:trPr>
        <w:tc>
          <w:tcPr>
            <w:tcW w:w="1541" w:type="dxa"/>
          </w:tcPr>
          <w:p>
            <w:pPr>
              <w:pStyle w:val="Compact"/>
              <w:jc w:val="left"/>
            </w:pPr>
            <w:r>
              <w:t xml:space="preserve">Περιοχή</w:t>
            </w:r>
          </w:p>
        </w:tc>
        <w:tc>
          <w:tcPr>
            <w:tcW w:w="5395" w:type="dxa"/>
          </w:tcPr>
          <w:p>
            <w:pPr>
              <w:pStyle w:val="Compact"/>
              <w:jc w:val="left"/>
            </w:pPr>
            <w:r>
              <w:t xml:space="preserve">Πρότυπο ή πρακτική</w:t>
            </w:r>
          </w:p>
        </w:tc>
        <w:tc>
          <w:tcPr>
            <w:tcW w:w="2928" w:type="dxa"/>
          </w:tcPr>
          <w:p>
            <w:pPr>
              <w:pStyle w:val="Compact"/>
              <w:jc w:val="left"/>
            </w:pPr>
            <w:r>
              <w:t xml:space="preserve">Εργαλείο</w:t>
            </w:r>
          </w:p>
        </w:tc>
      </w:tr>
      <w:tr>
        <w:tc>
          <w:tcPr>
            <w:tcW w:w="1541" w:type="dxa"/>
          </w:tcPr>
          <w:p>
            <w:pPr>
              <w:pStyle w:val="Compact"/>
              <w:jc w:val="left"/>
            </w:pPr>
            <w:r>
              <w:t xml:space="preserve">Απαιτήσεις</w:t>
            </w:r>
          </w:p>
        </w:tc>
        <w:tc>
          <w:tcPr>
            <w:tcW w:w="5395" w:type="dxa"/>
          </w:tcPr>
          <w:p>
            <w:pPr>
              <w:pStyle w:val="Compact"/>
              <w:jc w:val="left"/>
            </w:pPr>
            <w:r>
              <w:t xml:space="preserve">ISO/IEC/IEEE 29148, EARS, Planguage</w:t>
            </w:r>
          </w:p>
        </w:tc>
        <w:tc>
          <w:tcPr>
            <w:tcW w:w="2928" w:type="dxa"/>
          </w:tcPr>
          <w:p>
            <w:pPr>
              <w:pStyle w:val="Compact"/>
            </w:pPr>
          </w:p>
        </w:tc>
      </w:tr>
      <w:tr>
        <w:tc>
          <w:tcPr>
            <w:tcW w:w="1541" w:type="dxa"/>
          </w:tcPr>
          <w:p>
            <w:pPr>
              <w:pStyle w:val="Compact"/>
              <w:jc w:val="left"/>
            </w:pPr>
            <w:r>
              <w:t xml:space="preserve">Κώδικας</w:t>
            </w:r>
          </w:p>
        </w:tc>
        <w:tc>
          <w:tcPr>
            <w:tcW w:w="5395" w:type="dxa"/>
          </w:tcPr>
          <w:p>
            <w:pPr>
              <w:pStyle w:val="Compact"/>
            </w:pPr>
          </w:p>
        </w:tc>
        <w:tc>
          <w:tcPr>
            <w:tcW w:w="2928" w:type="dxa"/>
          </w:tcPr>
          <w:p>
            <w:pPr>
              <w:pStyle w:val="Compact"/>
              <w:jc w:val="left"/>
            </w:pPr>
            <w:r>
              <w:t xml:space="preserve">ruff, radon</w:t>
            </w:r>
          </w:p>
        </w:tc>
      </w:tr>
      <w:tr>
        <w:tc>
          <w:tcPr>
            <w:tcW w:w="1541" w:type="dxa"/>
          </w:tcPr>
          <w:p>
            <w:pPr>
              <w:pStyle w:val="Compact"/>
              <w:jc w:val="left"/>
            </w:pPr>
            <w:r>
              <w:t xml:space="preserve">Έλεγχος</w:t>
            </w:r>
          </w:p>
        </w:tc>
        <w:tc>
          <w:tcPr>
            <w:tcW w:w="5395" w:type="dxa"/>
          </w:tcPr>
          <w:p>
            <w:pPr>
              <w:pStyle w:val="Compact"/>
              <w:jc w:val="left"/>
            </w:pPr>
            <w:r>
              <w:t xml:space="preserve">ISO/IEC/IEEE 29119</w:t>
            </w:r>
          </w:p>
        </w:tc>
        <w:tc>
          <w:tcPr>
            <w:tcW w:w="2928" w:type="dxa"/>
          </w:tcPr>
          <w:p>
            <w:pPr>
              <w:pStyle w:val="Compact"/>
              <w:jc w:val="left"/>
            </w:pPr>
            <w:r>
              <w:t xml:space="preserve">pytest, coverage.py</w:t>
            </w:r>
          </w:p>
        </w:tc>
      </w:tr>
      <w:tr>
        <w:tc>
          <w:tcPr>
            <w:tcW w:w="1541" w:type="dxa"/>
          </w:tcPr>
          <w:p>
            <w:pPr>
              <w:pStyle w:val="Compact"/>
              <w:jc w:val="left"/>
            </w:pPr>
            <w:r>
              <w:t xml:space="preserve">Αλλαγές</w:t>
            </w:r>
          </w:p>
        </w:tc>
        <w:tc>
          <w:tcPr>
            <w:tcW w:w="5395" w:type="dxa"/>
          </w:tcPr>
          <w:p>
            <w:pPr>
              <w:pStyle w:val="Compact"/>
            </w:pPr>
          </w:p>
        </w:tc>
        <w:tc>
          <w:tcPr>
            <w:tcW w:w="2928" w:type="dxa"/>
          </w:tcPr>
          <w:p>
            <w:pPr>
              <w:pStyle w:val="Compact"/>
              <w:jc w:val="left"/>
            </w:pPr>
            <w:r>
              <w:t xml:space="preserve">Git, CHANGELOG</w:t>
            </w:r>
          </w:p>
        </w:tc>
      </w:tr>
    </w:tbl>
    <w:bookmarkEnd w:id="28"/>
    <w:bookmarkStart w:id="29" w:name="β5-δραστηριότητες-διασφάλισης"/>
    <w:p>
      <w:pPr>
        <w:pStyle w:val="Heading3"/>
      </w:pPr>
      <w:r>
        <w:t xml:space="preserve">Β.5 Δραστηριότητες διασφάλισης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3225"/>
        <w:gridCol w:w="3222"/>
        <w:gridCol w:w="1464"/>
        <w:gridCol w:w="1953"/>
      </w:tblGrid>
      <w:tr>
        <w:trPr>
          <w:tblHeader w:val="true"/>
        </w:trPr>
        <w:tc>
          <w:tcPr>
            <w:tcW w:w="3225" w:type="dxa"/>
          </w:tcPr>
          <w:p>
            <w:pPr>
              <w:pStyle w:val="Compact"/>
              <w:jc w:val="left"/>
            </w:pPr>
            <w:r>
              <w:t xml:space="preserve">Δραστηριότητα</w:t>
            </w:r>
          </w:p>
        </w:tc>
        <w:tc>
          <w:tcPr>
            <w:tcW w:w="3222" w:type="dxa"/>
          </w:tcPr>
          <w:p>
            <w:pPr>
              <w:pStyle w:val="Compact"/>
              <w:jc w:val="left"/>
            </w:pPr>
            <w:r>
              <w:t xml:space="preserve">Διασφάλιση προϊόντος ή διεργασίας</w:t>
            </w:r>
          </w:p>
        </w:tc>
        <w:tc>
          <w:tcPr>
            <w:tcW w:w="1464" w:type="dxa"/>
          </w:tcPr>
          <w:p>
            <w:pPr>
              <w:pStyle w:val="Compact"/>
              <w:jc w:val="left"/>
            </w:pPr>
            <w:r>
              <w:t xml:space="preserve">Πότε (εβδομάδα)</w:t>
            </w:r>
          </w:p>
        </w:tc>
        <w:tc>
          <w:tcPr>
            <w:tcW w:w="1953" w:type="dxa"/>
          </w:tcPr>
          <w:p>
            <w:pPr>
              <w:pStyle w:val="Compact"/>
              <w:jc w:val="left"/>
            </w:pPr>
            <w:r>
              <w:t xml:space="preserve">Κριτήριο ολοκλήρωσης</w:t>
            </w:r>
          </w:p>
        </w:tc>
      </w:tr>
      <w:tr>
        <w:tc>
          <w:tcPr>
            <w:tcW w:w="3225" w:type="dxa"/>
          </w:tcPr>
          <w:p>
            <w:pPr>
              <w:pStyle w:val="Compact"/>
            </w:pPr>
          </w:p>
        </w:tc>
        <w:tc>
          <w:tcPr>
            <w:tcW w:w="3222" w:type="dxa"/>
          </w:tcPr>
          <w:p>
            <w:pPr>
              <w:pStyle w:val="Compact"/>
            </w:pPr>
          </w:p>
        </w:tc>
        <w:tc>
          <w:tcPr>
            <w:tcW w:w="1464" w:type="dxa"/>
          </w:tcPr>
          <w:p>
            <w:pPr>
              <w:pStyle w:val="Compact"/>
            </w:pPr>
          </w:p>
        </w:tc>
        <w:tc>
          <w:tcPr>
            <w:tcW w:w="1953" w:type="dxa"/>
          </w:tcPr>
          <w:p>
            <w:pPr>
              <w:pStyle w:val="Compact"/>
            </w:pPr>
          </w:p>
        </w:tc>
      </w:tr>
    </w:tbl>
    <w:bookmarkEnd w:id="29"/>
    <w:bookmarkStart w:id="30" w:name="β6-στόχοι-και-μετρήσεις-ποιότητας"/>
    <w:p>
      <w:pPr>
        <w:pStyle w:val="Heading3"/>
      </w:pPr>
      <w:r>
        <w:t xml:space="preserve">Β.6 Στόχοι και μετρήσεις ποιότητας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4111"/>
        <w:gridCol w:w="1438"/>
        <w:gridCol w:w="1438"/>
        <w:gridCol w:w="2877"/>
      </w:tblGrid>
      <w:tr>
        <w:trPr>
          <w:tblHeader w:val="true"/>
        </w:trPr>
        <w:tc>
          <w:tcPr>
            <w:tcW w:w="4111" w:type="dxa"/>
          </w:tcPr>
          <w:p>
            <w:pPr>
              <w:pStyle w:val="Compact"/>
              <w:jc w:val="left"/>
            </w:pPr>
            <w:r>
              <w:t xml:space="preserve">Στόχος</w:t>
            </w:r>
          </w:p>
        </w:tc>
        <w:tc>
          <w:tcPr>
            <w:tcW w:w="1438" w:type="dxa"/>
          </w:tcPr>
          <w:p>
            <w:pPr>
              <w:pStyle w:val="Compact"/>
              <w:jc w:val="left"/>
            </w:pPr>
            <w:r>
              <w:t xml:space="preserve">Μέτρηση</w:t>
            </w:r>
          </w:p>
        </w:tc>
        <w:tc>
          <w:tcPr>
            <w:tcW w:w="1438" w:type="dxa"/>
          </w:tcPr>
          <w:p>
            <w:pPr>
              <w:pStyle w:val="Compact"/>
              <w:jc w:val="left"/>
            </w:pPr>
            <w:r>
              <w:t xml:space="preserve">Κατώφλι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t xml:space="preserve">Πότε μετριέται</w:t>
            </w:r>
          </w:p>
        </w:tc>
      </w:tr>
      <w:tr>
        <w:tc>
          <w:tcPr>
            <w:tcW w:w="4111" w:type="dxa"/>
          </w:tcPr>
          <w:p>
            <w:pPr>
              <w:pStyle w:val="Compact"/>
            </w:pPr>
          </w:p>
        </w:tc>
        <w:tc>
          <w:tcPr>
            <w:tcW w:w="1438" w:type="dxa"/>
          </w:tcPr>
          <w:p>
            <w:pPr>
              <w:pStyle w:val="Compact"/>
            </w:pPr>
          </w:p>
        </w:tc>
        <w:tc>
          <w:tcPr>
            <w:tcW w:w="1438" w:type="dxa"/>
          </w:tcPr>
          <w:p>
            <w:pPr>
              <w:pStyle w:val="Compact"/>
            </w:pPr>
          </w:p>
        </w:tc>
        <w:tc>
          <w:tcPr>
            <w:tcW w:w="2877" w:type="dxa"/>
          </w:tcPr>
          <w:p>
            <w:pPr>
              <w:pStyle w:val="Compact"/>
            </w:pPr>
          </w:p>
        </w:tc>
      </w:tr>
    </w:tbl>
    <w:bookmarkEnd w:id="30"/>
    <w:bookmarkStart w:id="31" w:name="β7-διαχείριση-μη-συμμορφώσεων-και-αρχεία"/>
    <w:p>
      <w:pPr>
        <w:pStyle w:val="Heading3"/>
      </w:pPr>
      <w:r>
        <w:t xml:space="preserve">Β.7 Διαχείριση μη συμμορφώσεων και αρχεία</w:t>
      </w:r>
    </w:p>
    <w:p>
      <w:pPr>
        <w:pStyle w:val="BlockText"/>
      </w:pPr>
      <w:r>
        <w:t xml:space="preserve">Πώς καταγράφονται ευρήματα και ελαττώματα, πού φυλάσσονται, πώς κλείνουν.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proofState w:spelling="clean" w:grammar="clean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bidi="ar-SA" w:eastAsia="en-US" w:val="el-G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240"/>
      <w:outlineLvl w:val="0"/>
    </w:pPr>
    <w:rPr>
      <w:rFonts w:ascii="Calibri" w:cs="Calibri" w:eastAsia="Calibri" w:hAnsi="Calibri"/>
      <w:b/>
      <w:bCs/>
      <w:color w:val="18212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40"/>
      <w:outlineLvl w:val="1"/>
    </w:pPr>
    <w:rPr>
      <w:rFonts w:ascii="Calibri" w:cs="Calibri" w:eastAsia="Calibri" w:hAnsi="Calibri"/>
      <w:b/>
      <w:bCs/>
      <w:color w:val="1D5A9E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80"/>
      <w:outlineLvl w:val="2"/>
    </w:pPr>
    <w:rPr>
      <w:rFonts w:ascii="Calibri" w:cs="Calibri" w:eastAsia="Calibri" w:hAnsi="Calibri"/>
      <w:b/>
      <w:bCs/>
      <w:color w:val="394452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cs="Calibri" w:eastAsia="Calibri" w:hAnsi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cs="Calibri" w:eastAsia="Calibri" w:hAnsi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1D5A9E" w:space="6" w:sz="18" w:val="single"/>
      </w:pBdr>
      <w:shd w:color="auto" w:fill="EEF2F7" w:val="clear"/>
      <w:spacing w:after="80" w:before="80"/>
      <w:ind w:firstLine="0" w:left="200" w:right="120"/>
    </w:pPr>
    <w:rPr>
      <w:i/>
      <w:color w:val="4A5563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Borders>
        <w:top w:color="BFC7D1" w:sz="4" w:val="single"/>
        <w:left w:color="BFC7D1" w:sz="4" w:val="single"/>
        <w:bottom w:color="BFC7D1" w:sz="4" w:val="single"/>
        <w:right w:color="BFC7D1" w:sz="4" w:val="single"/>
        <w:insideH w:color="BFC7D1" w:sz="4" w:val="single"/>
        <w:insideV w:color="BFC7D1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blPr>
        <w:jc w:val="left"/>
        <w:tblInd w:type="dxa" w:w="0"/>
      </w:tblPr>
      <w:trPr>
        <w:jc w:val="left"/>
      </w:trPr>
      <w:tcPr>
        <w:shd w:color="auto" w:fill="1F2A37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2026-10-04T06:33:30Z</dcterms:created>
  <dcterms:modified xsi:type="dcterms:W3CDTF">2026-10-04T06:33:30Z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