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εβδομάδα-4--αναφορά-μετρήσεων--studyroom"/>
    <w:p>
      <w:pPr>
        <w:pStyle w:val="Heading1"/>
      </w:pPr>
      <w:r>
        <w:t xml:space="preserve">Εβδομάδα 4 · Αναφορά μετρήσεων · StudyRoom</w:t>
      </w:r>
    </w:p>
    <w:p>
      <w:pPr>
        <w:pStyle w:val="BlockText"/>
      </w:pPr>
      <w:r>
        <w:t xml:space="preserve">Πρότυπα αναφοράς: ISO/IEC/IEEE 15939 (διεργασία μέτρησης και μοντέλο πληροφορίας μέτρησης: ανάγκη πληροφορίας, μετρήσιμη έννοια, οντότητα, ιδιότητα, βασικό μέτρο, μέθοδος μέτρησης, παράγωγο μέτρο, δείκτης, κριτήρια απόφασης) · ISO/IEC 25023 (μέτρα ποιότητας προϊόντος ανά χαρακτηριστικό του 25010). Το υπόδειγμα εφαρμόζει το μοντέλο πληροφορίας σε λίγα, επιλεγμένα μέτρα. Δεν επιχειρεί πλήρες πρόγραμμα μέτρησης.</w:t>
      </w:r>
    </w:p>
    <w:p>
      <w:pPr>
        <w:pStyle w:val="FirstParagraph"/>
      </w:pPr>
      <w:r>
        <w:rPr>
          <w:bCs/>
          <w:b/>
        </w:rPr>
        <w:t xml:space="preserve">Ομάδα:</w:t>
      </w:r>
      <w:r>
        <w:t xml:space="preserve"> </w:t>
      </w:r>
      <w:r>
        <w:t xml:space="preserve">[ονόματα, ΑΜ] ·</w:t>
      </w:r>
      <w:r>
        <w:t xml:space="preserve"> </w:t>
      </w:r>
      <w:r>
        <w:rPr>
          <w:bCs/>
          <w:b/>
        </w:rPr>
        <w:t xml:space="preserve">Έκδοση:</w:t>
      </w:r>
      <w:r>
        <w:t xml:space="preserve"> </w:t>
      </w:r>
      <w:r>
        <w:t xml:space="preserve">w04 ·</w:t>
      </w:r>
      <w:r>
        <w:t xml:space="preserve"> </w:t>
      </w:r>
      <w:r>
        <w:rPr>
          <w:bCs/>
          <w:b/>
        </w:rPr>
        <w:t xml:space="preserve">Κώδικας που μετρήθηκε:</w:t>
      </w:r>
      <w:r>
        <w:t xml:space="preserve"> </w:t>
      </w:r>
      <w:r>
        <w:t xml:space="preserve">StudyRoom [έκδοση, commit]</w:t>
      </w:r>
    </w:p>
    <w:bookmarkStart w:id="20" w:name="X0d2ee7317dc8fa90fc33e978c0f17934be16a46"/>
    <w:p>
      <w:pPr>
        <w:pStyle w:val="Heading2"/>
      </w:pPr>
      <w:r>
        <w:t xml:space="preserve">1. Ανάγκες πληροφορίας</w:t>
      </w:r>
    </w:p>
    <w:p>
      <w:pPr>
        <w:pStyle w:val="BlockText"/>
      </w:pPr>
      <w:r>
        <w:t xml:space="preserve">Ποιες ερωτήσεις θέλει να απαντήσει η μέτρηση· κάθε ανάγκη συνδέεται με κίνδυνο ή απαίτηση.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640"/>
        <w:gridCol w:w="7419"/>
        <w:gridCol w:w="1805"/>
      </w:tblGrid>
      <w:tr>
        <w:trPr>
          <w:tblHeader w:val="true"/>
        </w:trPr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7419" w:type="dxa"/>
          </w:tcPr>
          <w:p>
            <w:pPr>
              <w:pStyle w:val="Compact"/>
              <w:jc w:val="left"/>
            </w:pPr>
            <w:r>
              <w:t xml:space="preserve">Ανάγκη πληροφορίας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t xml:space="preserve">Σχετικός κίνδυνος ή απαίτηση</w:t>
            </w:r>
          </w:p>
        </w:tc>
      </w:tr>
      <w:tr>
        <w:tc>
          <w:tcPr>
            <w:tcW w:w="640" w:type="dxa"/>
          </w:tcPr>
          <w:p>
            <w:pPr>
              <w:pStyle w:val="Compact"/>
              <w:jc w:val="left"/>
            </w:pPr>
            <w:r>
              <w:t xml:space="preserve">IN-01</w:t>
            </w:r>
          </w:p>
        </w:tc>
        <w:tc>
          <w:tcPr>
            <w:tcW w:w="7419" w:type="dxa"/>
          </w:tcPr>
          <w:p>
            <w:pPr>
              <w:pStyle w:val="Compact"/>
              <w:jc w:val="left"/>
            </w:pPr>
            <w:r>
              <w:t xml:space="preserve">Ποια τμήματα του κώδικα είναι πιθανότερο να έχουν ελαττώματα ή να είναι δύσκολο να αλλάξουν;</w:t>
            </w:r>
          </w:p>
        </w:tc>
        <w:tc>
          <w:tcPr>
            <w:tcW w:w="1805" w:type="dxa"/>
          </w:tcPr>
          <w:p>
            <w:pPr>
              <w:pStyle w:val="Compact"/>
            </w:pPr>
          </w:p>
        </w:tc>
      </w:tr>
    </w:tbl>
    <w:bookmarkEnd w:id="20"/>
    <w:bookmarkStart w:id="21" w:name="X35a0471753f94c9d9db31e2fe32606a9bf782ef"/>
    <w:p>
      <w:pPr>
        <w:pStyle w:val="Heading2"/>
      </w:pPr>
      <w:r>
        <w:t xml:space="preserve">2. Ορισμός μέτρων (μοντέλο πληροφορίας κατά 15939)</w:t>
      </w:r>
    </w:p>
    <w:p>
      <w:pPr>
        <w:pStyle w:val="FirstParagraph"/>
      </w:pPr>
      <w:r>
        <w:t xml:space="preserve">Ένας πίνακας ανά μέτρο: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3288"/>
        <w:gridCol w:w="6576"/>
      </w:tblGrid>
      <w:tr>
        <w:trPr>
          <w:tblHeader w:val="true"/>
        </w:trP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Στοιχείο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Τιμή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Ανάγκη πληροφορίας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IN-xx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Μετρήσιμη έννοια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πολυπλοκότητα ελέγχου ροής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Οντότητα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συνάρτηση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Ιδιότητα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αριθμός ανεξάρτητων μονοπατιών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Βασικό μέτρο και μέθοδος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κυκλωματική πολυπλοκότητα,</w:t>
            </w:r>
            <w:r>
              <w:t xml:space="preserve"> </w:t>
            </w:r>
            <w:r>
              <w:rPr>
                <w:rStyle w:val="VerbatimChar"/>
              </w:rPr>
              <w:t xml:space="preserve">radon cc -s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Παράγωγο μέτρο (αν υπάρχει)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ποσοστό συναρτήσεων με CC &gt; 10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Δείκτης και κριτήρια απόφασης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CC &gt; 10: υποψήφιο για refactoring και επιπλέον tests</w:t>
            </w:r>
          </w:p>
        </w:tc>
      </w:tr>
      <w:tr>
        <w:tc>
          <w:tcPr>
            <w:tcW w:w="3288" w:type="dxa"/>
          </w:tcPr>
          <w:p>
            <w:pPr>
              <w:pStyle w:val="Compact"/>
              <w:jc w:val="left"/>
            </w:pPr>
            <w:r>
              <w:t xml:space="preserve">Αντίστοιχο μέτρο ISO/IEC 25023</w:t>
            </w:r>
          </w:p>
        </w:tc>
        <w:tc>
          <w:tcPr>
            <w:tcW w:w="6576" w:type="dxa"/>
          </w:tcPr>
          <w:p>
            <w:pPr>
              <w:pStyle w:val="Compact"/>
              <w:jc w:val="left"/>
            </w:pPr>
            <w:r>
              <w:t xml:space="preserve">π.χ. maintainability · modifiability</w:t>
            </w:r>
          </w:p>
        </w:tc>
      </w:tr>
    </w:tbl>
    <w:bookmarkEnd w:id="21"/>
    <w:bookmarkStart w:id="22" w:name="X914e70957db4414afba7f906b1b4897dd1a0b62"/>
    <w:p>
      <w:pPr>
        <w:pStyle w:val="Heading2"/>
      </w:pPr>
      <w:r>
        <w:t xml:space="preserve">3. Περιβάλλον και αναπαραγωγιμότητα</w:t>
      </w:r>
    </w:p>
    <w:p>
      <w:pPr>
        <w:pStyle w:val="BlockText"/>
      </w:pPr>
      <w:r>
        <w:t xml:space="preserve">Εκδόσεις Python και εργαλείων, ακριβείς εντολές, ρυθμίσεις (π.χ. κανόνες ruff), ημερομηνία. Κάποιος άλλος πρέπει να μπορεί να πάρει τα ίδια νούμερα.</w:t>
      </w:r>
    </w:p>
    <w:p>
      <w:pPr>
        <w:pStyle w:val="SourceCode"/>
      </w:pPr>
      <w:r>
        <w:rPr>
          <w:rStyle w:val="VerbatimChar"/>
        </w:rPr>
        <w:t xml:space="preserve">python --version:</w:t>
      </w:r>
      <w:r>
        <w:br/>
      </w:r>
      <w:r>
        <w:rPr>
          <w:rStyle w:val="VerbatimChar"/>
        </w:rPr>
        <w:t xml:space="preserve">radon --version:</w:t>
      </w:r>
      <w:r>
        <w:br/>
      </w:r>
      <w:r>
        <w:rPr>
          <w:rStyle w:val="VerbatimChar"/>
        </w:rPr>
        <w:t xml:space="preserve">ruff --version:</w:t>
      </w:r>
      <w:r>
        <w:br/>
      </w:r>
      <w:r>
        <w:rPr>
          <w:rStyle w:val="VerbatimChar"/>
        </w:rPr>
        <w:t xml:space="preserve">Εντολές:</w:t>
      </w:r>
    </w:p>
    <w:bookmarkEnd w:id="22"/>
    <w:bookmarkStart w:id="23" w:name="X3a8a4e324f7d98a38ad25442d87889f81c5d61c"/>
    <w:p>
      <w:pPr>
        <w:pStyle w:val="Heading2"/>
      </w:pPr>
      <w:r>
        <w:t xml:space="preserve">4. Αποτελέσματα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833"/>
        <w:gridCol w:w="1806"/>
        <w:gridCol w:w="3056"/>
        <w:gridCol w:w="4169"/>
      </w:tblGrid>
      <w:tr>
        <w:trPr>
          <w:tblHeader w:val="true"/>
        </w:trPr>
        <w:tc>
          <w:tcPr>
            <w:tcW w:w="833" w:type="dxa"/>
          </w:tcPr>
          <w:p>
            <w:pPr>
              <w:pStyle w:val="Compact"/>
              <w:jc w:val="left"/>
            </w:pPr>
            <w:r>
              <w:t xml:space="preserve">Μέτρο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Τιμή (σύνολο)</w:t>
            </w:r>
          </w:p>
        </w:tc>
        <w:tc>
          <w:tcPr>
            <w:tcW w:w="3056" w:type="dxa"/>
          </w:tcPr>
          <w:p>
            <w:pPr>
              <w:pStyle w:val="Compact"/>
              <w:jc w:val="left"/>
            </w:pPr>
            <w:r>
              <w:t xml:space="preserve">Χειρότερες 5 οντότητες</w:t>
            </w:r>
          </w:p>
        </w:tc>
        <w:tc>
          <w:tcPr>
            <w:tcW w:w="4169" w:type="dxa"/>
          </w:tcPr>
          <w:p>
            <w:pPr>
              <w:pStyle w:val="Compact"/>
              <w:jc w:val="left"/>
            </w:pPr>
            <w:r>
              <w:t xml:space="preserve">Σύγκριση με κατώφλι ή απαίτηση</w:t>
            </w:r>
          </w:p>
        </w:tc>
      </w:tr>
      <w:tr>
        <w:tc>
          <w:tcPr>
            <w:tcW w:w="833" w:type="dxa"/>
          </w:tcPr>
          <w:p>
            <w:pPr>
              <w:pStyle w:val="Compact"/>
            </w:pPr>
          </w:p>
        </w:tc>
        <w:tc>
          <w:tcPr>
            <w:tcW w:w="1806" w:type="dxa"/>
          </w:tcPr>
          <w:p>
            <w:pPr>
              <w:pStyle w:val="Compact"/>
            </w:pPr>
          </w:p>
        </w:tc>
        <w:tc>
          <w:tcPr>
            <w:tcW w:w="3056" w:type="dxa"/>
          </w:tcPr>
          <w:p>
            <w:pPr>
              <w:pStyle w:val="Compact"/>
            </w:pPr>
          </w:p>
        </w:tc>
        <w:tc>
          <w:tcPr>
            <w:tcW w:w="4169" w:type="dxa"/>
          </w:tcPr>
          <w:p>
            <w:pPr>
              <w:pStyle w:val="Compact"/>
            </w:pPr>
          </w:p>
        </w:tc>
      </w:tr>
    </w:tbl>
    <w:bookmarkEnd w:id="23"/>
    <w:bookmarkStart w:id="24" w:name="X5a3f5bc0ac60b95fbd400d53975abee742471ae"/>
    <w:p>
      <w:pPr>
        <w:pStyle w:val="Heading2"/>
      </w:pPr>
      <w:r>
        <w:t xml:space="preserve">5. Ανάλυση και ερμηνεία</w:t>
      </w:r>
    </w:p>
    <w:p>
      <w:pPr>
        <w:pStyle w:val="BlockText"/>
      </w:pPr>
      <w:r>
        <w:t xml:space="preserve">Τι σημαίνουν οι αριθμοί για τους κινδύνους και τις απαιτήσεις σας; Πού συγκεντρώνονται τα hotspots; Συμφωνούν μεταξύ τους τα διαφορετικά μέτρα;</w:t>
      </w:r>
    </w:p>
    <w:bookmarkEnd w:id="24"/>
    <w:bookmarkStart w:id="25" w:name="X6493319947905ea80da0e1a5c11f90c85a97526"/>
    <w:p>
      <w:pPr>
        <w:pStyle w:val="Heading2"/>
      </w:pPr>
      <w:r>
        <w:t xml:space="preserve">6. Τεχνικό χρέος</w:t>
      </w:r>
    </w:p>
    <w:tbl>
      <w:tblPr>
        <w:tblStyle w:val="Table"/>
        <w:tblW w:type="dxa" w:w="9864"/>
        <w:tblLayout w:type="fixed"/>
        <w:tblLook w:firstRow="1" w:lastRow="0" w:firstColumn="0" w:lastColumn="0" w:noHBand="0" w:noVBand="0" w:val="0020"/>
      </w:tblPr>
      <w:tblGrid>
        <w:gridCol w:w="2144"/>
        <w:gridCol w:w="964"/>
        <w:gridCol w:w="2251"/>
        <w:gridCol w:w="3112"/>
        <w:gridCol w:w="1393"/>
      </w:tblGrid>
      <w:tr>
        <w:trPr>
          <w:tblHeader w:val="true"/>
        </w:trPr>
        <w:tc>
          <w:tcPr>
            <w:tcW w:w="2144" w:type="dxa"/>
          </w:tcPr>
          <w:p>
            <w:pPr>
              <w:pStyle w:val="Compact"/>
              <w:jc w:val="left"/>
            </w:pPr>
            <w:r>
              <w:t xml:space="preserve">Εύρημα</w:t>
            </w:r>
          </w:p>
        </w:tc>
        <w:tc>
          <w:tcPr>
            <w:tcW w:w="964" w:type="dxa"/>
          </w:tcPr>
          <w:p>
            <w:pPr>
              <w:pStyle w:val="Compact"/>
              <w:jc w:val="left"/>
            </w:pPr>
            <w:r>
              <w:t xml:space="preserve">Τοποθεσία</w:t>
            </w:r>
          </w:p>
        </w:tc>
        <w:tc>
          <w:tcPr>
            <w:tcW w:w="2251" w:type="dxa"/>
          </w:tcPr>
          <w:p>
            <w:pPr>
              <w:pStyle w:val="Compact"/>
              <w:jc w:val="left"/>
            </w:pPr>
            <w:r>
              <w:t xml:space="preserve">Είδος χρέους (Fowler)</w:t>
            </w:r>
          </w:p>
        </w:tc>
        <w:tc>
          <w:tcPr>
            <w:tcW w:w="3112" w:type="dxa"/>
          </w:tcPr>
          <w:p>
            <w:pPr>
              <w:pStyle w:val="Compact"/>
              <w:jc w:val="left"/>
            </w:pPr>
            <w:r>
              <w:t xml:space="preserve">Εκτιμώμενο κόστος αποπληρωμής</w:t>
            </w:r>
          </w:p>
        </w:tc>
        <w:tc>
          <w:tcPr>
            <w:tcW w:w="1393" w:type="dxa"/>
          </w:tcPr>
          <w:p>
            <w:pPr>
              <w:pStyle w:val="Compact"/>
              <w:jc w:val="left"/>
            </w:pPr>
            <w:r>
              <w:t xml:space="preserve">Προτεραιότητα</w:t>
            </w:r>
          </w:p>
        </w:tc>
      </w:tr>
      <w:tr>
        <w:tc>
          <w:tcPr>
            <w:tcW w:w="2144" w:type="dxa"/>
          </w:tcPr>
          <w:p>
            <w:pPr>
              <w:pStyle w:val="Compact"/>
            </w:pPr>
          </w:p>
        </w:tc>
        <w:tc>
          <w:tcPr>
            <w:tcW w:w="964" w:type="dxa"/>
          </w:tcPr>
          <w:p>
            <w:pPr>
              <w:pStyle w:val="Compact"/>
            </w:pPr>
          </w:p>
        </w:tc>
        <w:tc>
          <w:tcPr>
            <w:tcW w:w="2251" w:type="dxa"/>
          </w:tcPr>
          <w:p>
            <w:pPr>
              <w:pStyle w:val="Compact"/>
            </w:pPr>
          </w:p>
        </w:tc>
        <w:tc>
          <w:tcPr>
            <w:tcW w:w="3112" w:type="dxa"/>
          </w:tcPr>
          <w:p>
            <w:pPr>
              <w:pStyle w:val="Compact"/>
            </w:pPr>
          </w:p>
        </w:tc>
        <w:tc>
          <w:tcPr>
            <w:tcW w:w="1393" w:type="dxa"/>
          </w:tcPr>
          <w:p>
            <w:pPr>
              <w:pStyle w:val="Compact"/>
            </w:pPr>
          </w:p>
        </w:tc>
      </w:tr>
    </w:tbl>
    <w:bookmarkEnd w:id="25"/>
    <w:bookmarkStart w:id="26" w:name="X19fadc49d8c57cbe8db27dc8f729c4baa9d0e03"/>
    <w:p>
      <w:pPr>
        <w:pStyle w:val="Heading2"/>
      </w:pPr>
      <w:r>
        <w:t xml:space="preserve">7. Εγκυρότητα και περιορισμοί των μέτρων</w:t>
      </w:r>
    </w:p>
    <w:p>
      <w:pPr>
        <w:pStyle w:val="BlockText"/>
      </w:pPr>
      <w:r>
        <w:t xml:space="preserve">Τι δεν μετρούν τα μέτρα που χρησιμοποιήσατε· πού κινδυνεύουν από gaming· τι θα αλλάζατε στην επόμενη μέτρηση.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proofState w:spelling="clean" w:grammar="clean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1"/>
        <w:szCs w:val="21"/>
        <w:lang w:bidi="ar-SA" w:eastAsia="en-US" w:val="el-G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240"/>
      <w:outlineLvl w:val="0"/>
    </w:pPr>
    <w:rPr>
      <w:rFonts w:ascii="Calibri" w:cs="Calibri" w:eastAsia="Calibri" w:hAnsi="Calibri"/>
      <w:b/>
      <w:bCs/>
      <w:color w:val="18212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1D5A9E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80"/>
      <w:outlineLvl w:val="2"/>
    </w:pPr>
    <w:rPr>
      <w:rFonts w:ascii="Calibri" w:cs="Calibri" w:eastAsia="Calibri" w:hAnsi="Calibri"/>
      <w:b/>
      <w:bCs/>
      <w:color w:val="394452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1D5A9E" w:space="6" w:sz="18" w:val="single"/>
      </w:pBdr>
      <w:shd w:color="auto" w:fill="EEF2F7" w:val="clear"/>
      <w:spacing w:after="80" w:before="80"/>
      <w:ind w:firstLine="0" w:left="200" w:right="120"/>
    </w:pPr>
    <w:rPr>
      <w:i/>
      <w:color w:val="4A5563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blPr>
        <w:jc w:val="left"/>
        <w:tblInd w:type="dxa" w:w="0"/>
      </w:tblPr>
      <w:trPr>
        <w:jc w:val="left"/>
      </w:trPr>
      <w:tcPr>
        <w:shd w:color="auto" w:fill="1F2A3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2026-10-04T06:33:30Z</dcterms:created>
  <dcterms:modified xsi:type="dcterms:W3CDTF">2026-10-04T06:33:30Z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