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a0f4895a5c12969fcb2bf2c056f44a05c8b81f"/>
    <w:p>
      <w:pPr>
        <w:pStyle w:val="Heading1"/>
      </w:pPr>
      <w:r>
        <w:t xml:space="preserve">Εβδομάδα 5 · Αναφορά review και στατικής ανάλυσης · StudyRoom</w:t>
      </w:r>
    </w:p>
    <w:p>
      <w:pPr>
        <w:pStyle w:val="BlockText"/>
      </w:pPr>
      <w:r>
        <w:t xml:space="preserve">Πρότυπο αναφοράς: IEEE 1028 (software reviews and audits). Το πρότυπο ορίζει πέντε είδη: management review, technical review, inspection, walk-through, audit. Εδώ εφαρμόζεται η inspection σε pull request, με τους ρόλους, τις εισόδους, τις εξόδους και τη λίστα ανωμαλιών που ορίζει το πρότυπο. Τα ευρήματα των εργαλείων στατικής ανάλυσης καταγράφονται στην ίδια λίστα.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w05 ·</w:t>
      </w:r>
      <w:r>
        <w:t xml:space="preserve"> </w:t>
      </w:r>
      <w:r>
        <w:rPr>
          <w:bCs/>
          <w:b/>
        </w:rPr>
        <w:t xml:space="preserve">Αντικείμενο review:</w:t>
      </w:r>
      <w:r>
        <w:t xml:space="preserve"> </w:t>
      </w:r>
      <w:r>
        <w:t xml:space="preserve">[pull request, commit]</w:t>
      </w:r>
    </w:p>
    <w:bookmarkStart w:id="20" w:name="X52dc86178ede3368a3cb19805d61df5905fa59d"/>
    <w:p>
      <w:pPr>
        <w:pStyle w:val="Heading2"/>
      </w:pPr>
      <w:r>
        <w:t xml:space="preserve">1. Ταυτότητα του review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8455"/>
        <w:gridCol w:w="1409"/>
      </w:tblGrid>
      <w:tr>
        <w:trPr>
          <w:tblHeader w:val="true"/>
        </w:trP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Είδος review κατά IEEE 1028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Inspection</w:t>
            </w: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Αντικείμενο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Στόχοι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Ρόλοι (επικεφαλής, καταγραφέας, αναγνώστης, συγγραφέας, inspectors)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Είσοδοι (απαιτήσεις, checklist, πρότυπα κώδικα)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Χρόνος προετοιμασίας ανά μέλος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</w:tr>
      <w:tr>
        <w:tc>
          <w:tcPr>
            <w:tcW w:w="8455" w:type="dxa"/>
          </w:tcPr>
          <w:p>
            <w:pPr>
              <w:pStyle w:val="Compact"/>
              <w:jc w:val="left"/>
            </w:pPr>
            <w:r>
              <w:t xml:space="preserve">Διάρκεια συνάντησης</w:t>
            </w:r>
          </w:p>
        </w:tc>
        <w:tc>
          <w:tcPr>
            <w:tcW w:w="1409" w:type="dxa"/>
          </w:tcPr>
          <w:p>
            <w:pPr>
              <w:pStyle w:val="Compact"/>
            </w:pPr>
          </w:p>
        </w:tc>
      </w:tr>
    </w:tbl>
    <w:bookmarkEnd w:id="20"/>
    <w:bookmarkStart w:id="21" w:name="Xa81d49c6bf3a364b92170e3f3d2357ddab3e32c"/>
    <w:p>
      <w:pPr>
        <w:pStyle w:val="Heading2"/>
      </w:pPr>
      <w:r>
        <w:t xml:space="preserve">2. Checklist που χρησιμοποιήθηκε</w:t>
      </w:r>
    </w:p>
    <w:p>
      <w:pPr>
        <w:pStyle w:val="BlockText"/>
      </w:pPr>
      <w:r>
        <w:t xml:space="preserve">Ποια ερωτήματα, από πού προέρχονται (διάλεξη, απαιτήσεις, OWASP κ.λπ.).</w:t>
      </w:r>
    </w:p>
    <w:bookmarkEnd w:id="21"/>
    <w:bookmarkStart w:id="22" w:name="X70f15ad5db538de3b64a2fdca9b70e906fdfad6"/>
    <w:p>
      <w:pPr>
        <w:pStyle w:val="Heading2"/>
      </w:pPr>
      <w:r>
        <w:t xml:space="preserve">3. Λίστα ανωμαλιών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640"/>
        <w:gridCol w:w="1740"/>
        <w:gridCol w:w="1257"/>
        <w:gridCol w:w="640"/>
        <w:gridCol w:w="640"/>
        <w:gridCol w:w="1890"/>
        <w:gridCol w:w="1015"/>
        <w:gridCol w:w="1402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Αρχείο:γραμμή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t xml:space="preserve">Πηγή (review / εργαλείο και κανόνας)</w:t>
            </w:r>
          </w:p>
        </w:tc>
        <w:tc>
          <w:tcPr>
            <w:tcW w:w="1257" w:type="dxa"/>
          </w:tcPr>
          <w:p>
            <w:pPr>
              <w:pStyle w:val="Compact"/>
              <w:jc w:val="left"/>
            </w:pPr>
            <w:r>
              <w:t xml:space="preserve">Περιγραφή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Κατηγορία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Σοβαρότητα</w:t>
            </w:r>
          </w:p>
        </w:tc>
        <w:tc>
          <w:tcPr>
            <w:tcW w:w="1890" w:type="dxa"/>
          </w:tcPr>
          <w:p>
            <w:pPr>
              <w:pStyle w:val="Compact"/>
              <w:jc w:val="left"/>
            </w:pPr>
            <w:r>
              <w:t xml:space="preserve">Απαίτηση που επηρεάζεται</w:t>
            </w:r>
          </w:p>
        </w:tc>
        <w:tc>
          <w:tcPr>
            <w:tcW w:w="1015" w:type="dxa"/>
          </w:tcPr>
          <w:p>
            <w:pPr>
              <w:pStyle w:val="Compact"/>
              <w:jc w:val="left"/>
            </w:pPr>
            <w:r>
              <w:t xml:space="preserve">True / False positive</w:t>
            </w:r>
          </w:p>
        </w:tc>
        <w:tc>
          <w:tcPr>
            <w:tcW w:w="1402" w:type="dxa"/>
          </w:tcPr>
          <w:p>
            <w:pPr>
              <w:pStyle w:val="Compact"/>
              <w:jc w:val="left"/>
            </w:pPr>
            <w:r>
              <w:t xml:space="preserve">Αιτιολόγηση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740" w:type="dxa"/>
          </w:tcPr>
          <w:p>
            <w:pPr>
              <w:pStyle w:val="Compact"/>
            </w:pPr>
          </w:p>
        </w:tc>
        <w:tc>
          <w:tcPr>
            <w:tcW w:w="1257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890" w:type="dxa"/>
          </w:tcPr>
          <w:p>
            <w:pPr>
              <w:pStyle w:val="Compact"/>
            </w:pPr>
          </w:p>
        </w:tc>
        <w:tc>
          <w:tcPr>
            <w:tcW w:w="1015" w:type="dxa"/>
          </w:tcPr>
          <w:p>
            <w:pPr>
              <w:pStyle w:val="Compact"/>
            </w:pPr>
          </w:p>
        </w:tc>
        <w:tc>
          <w:tcPr>
            <w:tcW w:w="1402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Κατηγορίες ενδεικτικά: λογική, χειρισμός σφαλμάτων, ασφάλεια, απόδοση, συντηρησιμότητα, ελεγξιμότητα, συμμόρφωση με απαίτηση.</w:t>
      </w:r>
    </w:p>
    <w:bookmarkEnd w:id="22"/>
    <w:bookmarkStart w:id="23" w:name="X46fb8a7a0a5a1617a9fbef7f4a6663d6db6d77a"/>
    <w:p>
      <w:pPr>
        <w:pStyle w:val="Heading2"/>
      </w:pPr>
      <w:r>
        <w:t xml:space="preserve">4. Στατική ανάλυση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143"/>
        <w:gridCol w:w="857"/>
        <w:gridCol w:w="1286"/>
        <w:gridCol w:w="2433"/>
        <w:gridCol w:w="2001"/>
        <w:gridCol w:w="2144"/>
      </w:tblGrid>
      <w:tr>
        <w:trPr>
          <w:tblHeader w:val="true"/>
        </w:trPr>
        <w:tc>
          <w:tcPr>
            <w:tcW w:w="1143" w:type="dxa"/>
          </w:tcPr>
          <w:p>
            <w:pPr>
              <w:pStyle w:val="Compact"/>
              <w:jc w:val="left"/>
            </w:pPr>
            <w:r>
              <w:t xml:space="preserve">Εργαλείο</w:t>
            </w:r>
          </w:p>
        </w:tc>
        <w:tc>
          <w:tcPr>
            <w:tcW w:w="857" w:type="dxa"/>
          </w:tcPr>
          <w:p>
            <w:pPr>
              <w:pStyle w:val="Compact"/>
              <w:jc w:val="left"/>
            </w:pPr>
            <w:r>
              <w:t xml:space="preserve">Έκδοση</w:t>
            </w:r>
          </w:p>
        </w:tc>
        <w:tc>
          <w:tcPr>
            <w:tcW w:w="1286" w:type="dxa"/>
          </w:tcPr>
          <w:p>
            <w:pPr>
              <w:pStyle w:val="Compact"/>
              <w:jc w:val="left"/>
            </w:pPr>
            <w:r>
              <w:t xml:space="preserve">Ρυθμίσεις</w:t>
            </w:r>
          </w:p>
        </w:tc>
        <w:tc>
          <w:tcPr>
            <w:tcW w:w="2433" w:type="dxa"/>
          </w:tcPr>
          <w:p>
            <w:pPr>
              <w:pStyle w:val="Compact"/>
              <w:jc w:val="left"/>
            </w:pPr>
            <w:r>
              <w:t xml:space="preserve">Ευρήματα (σύνολο)</w:t>
            </w:r>
          </w:p>
        </w:tc>
        <w:tc>
          <w:tcPr>
            <w:tcW w:w="2001" w:type="dxa"/>
          </w:tcPr>
          <w:p>
            <w:pPr>
              <w:pStyle w:val="Compact"/>
              <w:jc w:val="left"/>
            </w:pPr>
            <w:r>
              <w:t xml:space="preserve">True positives</w:t>
            </w:r>
          </w:p>
        </w:tc>
        <w:tc>
          <w:tcPr>
            <w:tcW w:w="2144" w:type="dxa"/>
          </w:tcPr>
          <w:p>
            <w:pPr>
              <w:pStyle w:val="Compact"/>
              <w:jc w:val="left"/>
            </w:pPr>
            <w:r>
              <w:t xml:space="preserve">False positives</w:t>
            </w:r>
          </w:p>
        </w:tc>
      </w:tr>
      <w:tr>
        <w:tc>
          <w:tcPr>
            <w:tcW w:w="1143" w:type="dxa"/>
          </w:tcPr>
          <w:p>
            <w:pPr>
              <w:pStyle w:val="Compact"/>
              <w:jc w:val="left"/>
            </w:pPr>
            <w:r>
              <w:t xml:space="preserve">ruff</w:t>
            </w:r>
          </w:p>
        </w:tc>
        <w:tc>
          <w:tcPr>
            <w:tcW w:w="857" w:type="dxa"/>
          </w:tcPr>
          <w:p>
            <w:pPr>
              <w:pStyle w:val="Compact"/>
            </w:pPr>
          </w:p>
        </w:tc>
        <w:tc>
          <w:tcPr>
            <w:tcW w:w="1286" w:type="dxa"/>
          </w:tcPr>
          <w:p>
            <w:pPr>
              <w:pStyle w:val="Compact"/>
            </w:pPr>
          </w:p>
        </w:tc>
        <w:tc>
          <w:tcPr>
            <w:tcW w:w="2433" w:type="dxa"/>
          </w:tcPr>
          <w:p>
            <w:pPr>
              <w:pStyle w:val="Compact"/>
            </w:pPr>
          </w:p>
        </w:tc>
        <w:tc>
          <w:tcPr>
            <w:tcW w:w="2001" w:type="dxa"/>
          </w:tcPr>
          <w:p>
            <w:pPr>
              <w:pStyle w:val="Compact"/>
            </w:pPr>
          </w:p>
        </w:tc>
        <w:tc>
          <w:tcPr>
            <w:tcW w:w="2144" w:type="dxa"/>
          </w:tcPr>
          <w:p>
            <w:pPr>
              <w:pStyle w:val="Compact"/>
            </w:pPr>
          </w:p>
        </w:tc>
      </w:tr>
      <w:tr>
        <w:tc>
          <w:tcPr>
            <w:tcW w:w="1143" w:type="dxa"/>
          </w:tcPr>
          <w:p>
            <w:pPr>
              <w:pStyle w:val="Compact"/>
              <w:jc w:val="left"/>
            </w:pPr>
            <w:r>
              <w:t xml:space="preserve">bandit</w:t>
            </w:r>
          </w:p>
        </w:tc>
        <w:tc>
          <w:tcPr>
            <w:tcW w:w="857" w:type="dxa"/>
          </w:tcPr>
          <w:p>
            <w:pPr>
              <w:pStyle w:val="Compact"/>
            </w:pPr>
          </w:p>
        </w:tc>
        <w:tc>
          <w:tcPr>
            <w:tcW w:w="1286" w:type="dxa"/>
          </w:tcPr>
          <w:p>
            <w:pPr>
              <w:pStyle w:val="Compact"/>
            </w:pPr>
          </w:p>
        </w:tc>
        <w:tc>
          <w:tcPr>
            <w:tcW w:w="2433" w:type="dxa"/>
          </w:tcPr>
          <w:p>
            <w:pPr>
              <w:pStyle w:val="Compact"/>
            </w:pPr>
          </w:p>
        </w:tc>
        <w:tc>
          <w:tcPr>
            <w:tcW w:w="2001" w:type="dxa"/>
          </w:tcPr>
          <w:p>
            <w:pPr>
              <w:pStyle w:val="Compact"/>
            </w:pPr>
          </w:p>
        </w:tc>
        <w:tc>
          <w:tcPr>
            <w:tcW w:w="2144" w:type="dxa"/>
          </w:tcPr>
          <w:p>
            <w:pPr>
              <w:pStyle w:val="Compact"/>
            </w:pPr>
          </w:p>
        </w:tc>
      </w:tr>
    </w:tbl>
    <w:bookmarkEnd w:id="23"/>
    <w:bookmarkStart w:id="24" w:name="X8c1c66c2f0f464d6cb99e1a7faa6d71a891306a"/>
    <w:p>
      <w:pPr>
        <w:pStyle w:val="Heading2"/>
      </w:pPr>
      <w:r>
        <w:t xml:space="preserve">5. Απόφαση</w:t>
      </w:r>
    </w:p>
    <w:p>
      <w:pPr>
        <w:pStyle w:val="BlockText"/>
      </w:pPr>
      <w:r>
        <w:t xml:space="preserve">Κατά IEEE 1028 η inspection καταλήγει σε απόφαση: αποδοχή χωρίς ή με μικρή επανεργασία, αποδοχή με επαλήθευση της επανεργασίας, ή νέα inspection. Αιτιολογήστε.</w:t>
      </w:r>
    </w:p>
    <w:bookmarkEnd w:id="24"/>
    <w:bookmarkStart w:id="25" w:name="Xc36d4ae2befd43a9f3b367092941d2589d2974f"/>
    <w:p>
      <w:pPr>
        <w:pStyle w:val="Heading2"/>
      </w:pPr>
      <w:r>
        <w:t xml:space="preserve">6. Σχέδιο αποκατάστασης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848"/>
        <w:gridCol w:w="2545"/>
        <w:gridCol w:w="1378"/>
        <w:gridCol w:w="2227"/>
        <w:gridCol w:w="2866"/>
      </w:tblGrid>
      <w:tr>
        <w:trPr>
          <w:tblHeader w:val="true"/>
        </w:trPr>
        <w:tc>
          <w:tcPr>
            <w:tcW w:w="848" w:type="dxa"/>
          </w:tcPr>
          <w:p>
            <w:pPr>
              <w:pStyle w:val="Compact"/>
              <w:jc w:val="left"/>
            </w:pPr>
            <w:r>
              <w:t xml:space="preserve">Ανωμαλία</w:t>
            </w:r>
          </w:p>
        </w:tc>
        <w:tc>
          <w:tcPr>
            <w:tcW w:w="2545" w:type="dxa"/>
          </w:tcPr>
          <w:p>
            <w:pPr>
              <w:pStyle w:val="Compact"/>
              <w:jc w:val="left"/>
            </w:pPr>
            <w:r>
              <w:t xml:space="preserve">Ενέργεια</w:t>
            </w:r>
          </w:p>
        </w:tc>
        <w:tc>
          <w:tcPr>
            <w:tcW w:w="1378" w:type="dxa"/>
          </w:tcPr>
          <w:p>
            <w:pPr>
              <w:pStyle w:val="Compact"/>
              <w:jc w:val="left"/>
            </w:pPr>
            <w:r>
              <w:t xml:space="preserve">Προτεραιότητα</w:t>
            </w:r>
          </w:p>
        </w:tc>
        <w:tc>
          <w:tcPr>
            <w:tcW w:w="2227" w:type="dxa"/>
          </w:tcPr>
          <w:p>
            <w:pPr>
              <w:pStyle w:val="Compact"/>
              <w:jc w:val="left"/>
            </w:pPr>
            <w:r>
              <w:t xml:space="preserve">Εκτιμώμενη προσπάθεια</w:t>
            </w:r>
          </w:p>
        </w:tc>
        <w:tc>
          <w:tcPr>
            <w:tcW w:w="2866" w:type="dxa"/>
          </w:tcPr>
          <w:p>
            <w:pPr>
              <w:pStyle w:val="Compact"/>
              <w:jc w:val="left"/>
            </w:pPr>
            <w:r>
              <w:t xml:space="preserve">Πώς επαληθεύεται η διόρθωση</w:t>
            </w:r>
          </w:p>
        </w:tc>
      </w:tr>
      <w:tr>
        <w:tc>
          <w:tcPr>
            <w:tcW w:w="848" w:type="dxa"/>
          </w:tcPr>
          <w:p>
            <w:pPr>
              <w:pStyle w:val="Compact"/>
            </w:pPr>
          </w:p>
        </w:tc>
        <w:tc>
          <w:tcPr>
            <w:tcW w:w="2545" w:type="dxa"/>
          </w:tcPr>
          <w:p>
            <w:pPr>
              <w:pStyle w:val="Compact"/>
            </w:pPr>
          </w:p>
        </w:tc>
        <w:tc>
          <w:tcPr>
            <w:tcW w:w="1378" w:type="dxa"/>
          </w:tcPr>
          <w:p>
            <w:pPr>
              <w:pStyle w:val="Compact"/>
            </w:pPr>
          </w:p>
        </w:tc>
        <w:tc>
          <w:tcPr>
            <w:tcW w:w="2227" w:type="dxa"/>
          </w:tcPr>
          <w:p>
            <w:pPr>
              <w:pStyle w:val="Compact"/>
            </w:pPr>
          </w:p>
        </w:tc>
        <w:tc>
          <w:tcPr>
            <w:tcW w:w="2866" w:type="dxa"/>
          </w:tcPr>
          <w:p>
            <w:pPr>
              <w:pStyle w:val="Compact"/>
            </w:pPr>
          </w:p>
        </w:tc>
      </w:tr>
    </w:tbl>
    <w:bookmarkEnd w:id="25"/>
    <w:bookmarkStart w:id="26" w:name="X7f385c9b08c9ff4378d06533a6b5852746ed621"/>
    <w:p>
      <w:pPr>
        <w:pStyle w:val="Heading2"/>
      </w:pPr>
      <w:r>
        <w:t xml:space="preserve">7. Μετρήσεις του review</w:t>
      </w:r>
    </w:p>
    <w:p>
      <w:pPr>
        <w:pStyle w:val="BlockText"/>
      </w:pPr>
      <w:r>
        <w:t xml:space="preserve">Ανωμαλίες ανά 100 γραμμές, ανά κατηγορία· ποσοστό που βρέθηκε μόνο από ανθρώπους και μόνο από εργαλεία. Τι θα αλλάζατε στο checklist.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