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c1fb90b95a666d0ef41481c2ffdb7d3b71f16d"/>
    <w:p>
      <w:pPr>
        <w:pStyle w:val="Heading1"/>
      </w:pPr>
      <w:r>
        <w:t xml:space="preserve">Εβδομάδα 9 · Σχέδιο ελέγχου ολοκλήρωσης και API · StudyRoom</w:t>
      </w:r>
    </w:p>
    <w:p>
      <w:pPr>
        <w:pStyle w:val="BlockText"/>
      </w:pPr>
      <w:r>
        <w:t xml:space="preserve">Πρότυπο αναφοράς: ISO/IEC/IEEE 29119-3, σχέδιο ελέγχου (test plan). Οι ενότητες ακολουθούν το περίγραμμα του προτύπου (πλαίσιο, παραδοχές, κίνδυνοι, στρατηγική, δραστηριότητες), συντομευμένες για ένα επίπεδο ελέγχου. Η ανάλυση επίπτωσης του αιτήματος αλλαγής βασίζεται στον πίνακα ιχνηλασιμότητας (ISO/IEC/IEEE 29148).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w09 ·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t xml:space="preserve">[hash]</w:t>
      </w:r>
    </w:p>
    <w:bookmarkStart w:id="23" w:name="X6e9cb33caeea84228b6681019761a093a6e003b"/>
    <w:p>
      <w:pPr>
        <w:pStyle w:val="Heading2"/>
      </w:pPr>
      <w:r>
        <w:t xml:space="preserve">1. Πλαίσιο</w:t>
      </w:r>
    </w:p>
    <w:bookmarkStart w:id="20" w:name="X32295a2e41c5f49ec68ce450554511375519354"/>
    <w:p>
      <w:pPr>
        <w:pStyle w:val="Heading3"/>
      </w:pPr>
      <w:r>
        <w:t xml:space="preserve">1.1 Αντικείμενο ελέγχου</w:t>
      </w:r>
    </w:p>
    <w:p>
      <w:pPr>
        <w:pStyle w:val="BlockText"/>
      </w:pPr>
      <w:r>
        <w:t xml:space="preserve">Ποια τμήματα ολοκληρώνονται (π.χ. υπηρεσία κρατήσεων + αποθήκευση + API + ταυτοποίηση).</w:t>
      </w:r>
    </w:p>
    <w:bookmarkEnd w:id="20"/>
    <w:bookmarkStart w:id="21" w:name="Xf4442e25244b555fb086f01f42c1d1c3e80f4e0"/>
    <w:p>
      <w:pPr>
        <w:pStyle w:val="Heading3"/>
      </w:pPr>
      <w:r>
        <w:t xml:space="preserve">1.2 Παραδοχές και περιορισμοί</w:t>
      </w:r>
    </w:p>
    <w:bookmarkEnd w:id="21"/>
    <w:bookmarkStart w:id="22" w:name="X7e5133c123f8285776554716d693cd76581b2ee"/>
    <w:p>
      <w:pPr>
        <w:pStyle w:val="Heading3"/>
      </w:pPr>
      <w:r>
        <w:t xml:space="preserve">1.3 Ενδιαφερόμενα μέρη του ελέγχου</w:t>
      </w:r>
    </w:p>
    <w:bookmarkEnd w:id="22"/>
    <w:bookmarkEnd w:id="23"/>
    <w:bookmarkStart w:id="24" w:name="Xe822fde7987f109e0637803124d28eda8398156"/>
    <w:p>
      <w:pPr>
        <w:pStyle w:val="Heading2"/>
      </w:pPr>
      <w:r>
        <w:t xml:space="preserve">2. Μητρώο κινδύνων ελέγχου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5834"/>
        <w:gridCol w:w="4030"/>
      </w:tblGrid>
      <w:tr>
        <w:trPr>
          <w:tblHeader w:val="true"/>
        </w:trPr>
        <w:tc>
          <w:tcPr>
            <w:tcW w:w="5834" w:type="dxa"/>
          </w:tcPr>
          <w:p>
            <w:pPr>
              <w:pStyle w:val="Compact"/>
              <w:jc w:val="left"/>
            </w:pPr>
            <w:r>
              <w:t xml:space="preserve">Κίνδυνος προϊόντος (R-xx)</w:t>
            </w:r>
          </w:p>
        </w:tc>
        <w:tc>
          <w:tcPr>
            <w:tcW w:w="4030" w:type="dxa"/>
          </w:tcPr>
          <w:p>
            <w:pPr>
              <w:pStyle w:val="Compact"/>
              <w:jc w:val="left"/>
            </w:pPr>
            <w:r>
              <w:t xml:space="preserve">Πώς τον καλύπτει ο έλεγχος ολοκλήρωσης</w:t>
            </w:r>
          </w:p>
        </w:tc>
      </w:tr>
      <w:tr>
        <w:tc>
          <w:tcPr>
            <w:tcW w:w="5834" w:type="dxa"/>
          </w:tcPr>
          <w:p>
            <w:pPr>
              <w:pStyle w:val="Compact"/>
            </w:pPr>
          </w:p>
        </w:tc>
        <w:tc>
          <w:tcPr>
            <w:tcW w:w="4030" w:type="dxa"/>
          </w:tcPr>
          <w:p>
            <w:pPr>
              <w:pStyle w:val="Compact"/>
            </w:pPr>
          </w:p>
        </w:tc>
      </w:tr>
    </w:tbl>
    <w:bookmarkEnd w:id="24"/>
    <w:bookmarkStart w:id="25" w:name="Xf24dcf065f540464590b328219529323d3f2cbb"/>
    <w:p>
      <w:pPr>
        <w:pStyle w:val="Heading2"/>
      </w:pPr>
      <w:r>
        <w:t xml:space="preserve">3. Στρατηγική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800"/>
        <w:gridCol w:w="7064"/>
      </w:tblGrid>
      <w:tr>
        <w:trPr>
          <w:tblHeader w:val="true"/>
        </w:trP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7064" w:type="dxa"/>
          </w:tcPr>
          <w:p>
            <w:pPr>
              <w:pStyle w:val="Compact"/>
              <w:jc w:val="left"/>
            </w:pPr>
            <w:r>
              <w:t xml:space="preserve">Απόφαση</w:t>
            </w: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Προσέγγιση ολοκλήρωσης</w:t>
            </w:r>
          </w:p>
        </w:tc>
        <w:tc>
          <w:tcPr>
            <w:tcW w:w="7064" w:type="dxa"/>
          </w:tcPr>
          <w:p>
            <w:pPr>
              <w:pStyle w:val="Compact"/>
              <w:jc w:val="left"/>
            </w:pPr>
            <w:r>
              <w:t xml:space="preserve">Big-bang / top-down / bottom-up / sandwich, με αιτιολόγηση</w:t>
            </w: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Διεπαφές προς έλεγχο</w:t>
            </w:r>
          </w:p>
        </w:tc>
        <w:tc>
          <w:tcPr>
            <w:tcW w:w="7064" w:type="dxa"/>
          </w:tcPr>
          <w:p>
            <w:pPr>
              <w:pStyle w:val="Compact"/>
            </w:pP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Εξωτερικές υπηρεσίες</w:t>
            </w:r>
          </w:p>
        </w:tc>
        <w:tc>
          <w:tcPr>
            <w:tcW w:w="7064" w:type="dxa"/>
          </w:tcPr>
          <w:p>
            <w:pPr>
              <w:pStyle w:val="Compact"/>
              <w:jc w:val="left"/>
            </w:pPr>
            <w:r>
              <w:t xml:space="preserve">Πραγματικές, fakes ή contract tests</w:t>
            </w: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Περιβάλλον ελέγχου</w:t>
            </w:r>
          </w:p>
        </w:tc>
        <w:tc>
          <w:tcPr>
            <w:tcW w:w="7064" w:type="dxa"/>
          </w:tcPr>
          <w:p>
            <w:pPr>
              <w:pStyle w:val="Compact"/>
            </w:pP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Δεδομένα ελέγχου</w:t>
            </w:r>
          </w:p>
        </w:tc>
        <w:tc>
          <w:tcPr>
            <w:tcW w:w="7064" w:type="dxa"/>
          </w:tcPr>
          <w:p>
            <w:pPr>
              <w:pStyle w:val="Compact"/>
            </w:pP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Κριτήρια ολοκλήρωσης</w:t>
            </w:r>
          </w:p>
        </w:tc>
        <w:tc>
          <w:tcPr>
            <w:tcW w:w="7064" w:type="dxa"/>
          </w:tcPr>
          <w:p>
            <w:pPr>
              <w:pStyle w:val="Compact"/>
            </w:pPr>
          </w:p>
        </w:tc>
      </w:tr>
      <w:tr>
        <w:tc>
          <w:tcPr>
            <w:tcW w:w="2800" w:type="dxa"/>
          </w:tcPr>
          <w:p>
            <w:pPr>
              <w:pStyle w:val="Compact"/>
              <w:jc w:val="left"/>
            </w:pPr>
            <w:r>
              <w:t xml:space="preserve">Αναστολή και επανέναρξη</w:t>
            </w:r>
          </w:p>
        </w:tc>
        <w:tc>
          <w:tcPr>
            <w:tcW w:w="7064" w:type="dxa"/>
          </w:tcPr>
          <w:p>
            <w:pPr>
              <w:pStyle w:val="Compact"/>
              <w:jc w:val="left"/>
            </w:pPr>
            <w:r>
              <w:t xml:space="preserve">Πότε σταματά ο έλεγχος (π.χ. αποτυχία smoke test)</w:t>
            </w:r>
          </w:p>
        </w:tc>
      </w:tr>
    </w:tbl>
    <w:bookmarkEnd w:id="25"/>
    <w:bookmarkStart w:id="26" w:name="X6f74f8baad5abfcedcd490d12338b737ad98703"/>
    <w:p>
      <w:pPr>
        <w:pStyle w:val="Heading2"/>
      </w:pPr>
      <w:r>
        <w:t xml:space="preserve">4. Ανάλυση επίπτωσης αιτήματος αλλαγής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644"/>
        <w:gridCol w:w="2156"/>
        <w:gridCol w:w="1315"/>
        <w:gridCol w:w="2137"/>
        <w:gridCol w:w="640"/>
        <w:gridCol w:w="1972"/>
      </w:tblGrid>
      <w:tr>
        <w:trPr>
          <w:tblHeader w:val="true"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t xml:space="preserve">Αλλαγή</w:t>
            </w:r>
          </w:p>
        </w:tc>
        <w:tc>
          <w:tcPr>
            <w:tcW w:w="2156" w:type="dxa"/>
          </w:tcPr>
          <w:p>
            <w:pPr>
              <w:pStyle w:val="Compact"/>
              <w:jc w:val="left"/>
            </w:pPr>
            <w:r>
              <w:t xml:space="preserve">Απαιτήσεις που επηρεάζονται</w:t>
            </w:r>
          </w:p>
        </w:tc>
        <w:tc>
          <w:tcPr>
            <w:tcW w:w="1315" w:type="dxa"/>
          </w:tcPr>
          <w:p>
            <w:pPr>
              <w:pStyle w:val="Compact"/>
              <w:jc w:val="left"/>
            </w:pPr>
            <w:r>
              <w:t xml:space="preserve">Σενάρια αποδοχής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t xml:space="preserve">Tests (unit / integration)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Κώδικας</w:t>
            </w:r>
          </w:p>
        </w:tc>
        <w:tc>
          <w:tcPr>
            <w:tcW w:w="1972" w:type="dxa"/>
          </w:tcPr>
          <w:p>
            <w:pPr>
              <w:pStyle w:val="Compact"/>
              <w:jc w:val="left"/>
            </w:pPr>
            <w:r>
              <w:t xml:space="preserve">Ενέργεια</w:t>
            </w:r>
          </w:p>
        </w:tc>
      </w:tr>
      <w:tr>
        <w:tc>
          <w:tcPr>
            <w:tcW w:w="1644" w:type="dxa"/>
          </w:tcPr>
          <w:p>
            <w:pPr>
              <w:pStyle w:val="Compact"/>
            </w:pPr>
          </w:p>
        </w:tc>
        <w:tc>
          <w:tcPr>
            <w:tcW w:w="2156" w:type="dxa"/>
          </w:tcPr>
          <w:p>
            <w:pPr>
              <w:pStyle w:val="Compact"/>
            </w:pPr>
          </w:p>
        </w:tc>
        <w:tc>
          <w:tcPr>
            <w:tcW w:w="1315" w:type="dxa"/>
          </w:tcPr>
          <w:p>
            <w:pPr>
              <w:pStyle w:val="Compact"/>
            </w:pPr>
          </w:p>
        </w:tc>
        <w:tc>
          <w:tcPr>
            <w:tcW w:w="2137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972" w:type="dxa"/>
          </w:tcPr>
          <w:p>
            <w:pPr>
              <w:pStyle w:val="Compact"/>
            </w:pPr>
          </w:p>
        </w:tc>
      </w:tr>
    </w:tbl>
    <w:bookmarkEnd w:id="26"/>
    <w:bookmarkStart w:id="27" w:name="Xc5b8d3b5f89bceade095a317d1f2a918b2fbe21"/>
    <w:p>
      <w:pPr>
        <w:pStyle w:val="Heading2"/>
      </w:pPr>
      <w:r>
        <w:t xml:space="preserve">5. Περιπτώσεις ελέγχου ολοκλήρωσης και API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376"/>
        <w:gridCol w:w="1682"/>
        <w:gridCol w:w="1682"/>
        <w:gridCol w:w="2649"/>
        <w:gridCol w:w="1835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1376" w:type="dxa"/>
          </w:tcPr>
          <w:p>
            <w:pPr>
              <w:pStyle w:val="Compact"/>
              <w:jc w:val="left"/>
            </w:pPr>
            <w:r>
              <w:t xml:space="preserve">Διεπαφή / endpoint</w:t>
            </w:r>
          </w:p>
        </w:tc>
        <w:tc>
          <w:tcPr>
            <w:tcW w:w="1682" w:type="dxa"/>
          </w:tcPr>
          <w:p>
            <w:pPr>
              <w:pStyle w:val="Compact"/>
              <w:jc w:val="left"/>
            </w:pPr>
            <w:r>
              <w:t xml:space="preserve">Σενάριο</w:t>
            </w:r>
          </w:p>
        </w:tc>
        <w:tc>
          <w:tcPr>
            <w:tcW w:w="1682" w:type="dxa"/>
          </w:tcPr>
          <w:p>
            <w:pPr>
              <w:pStyle w:val="Compact"/>
              <w:jc w:val="left"/>
            </w:pPr>
            <w:r>
              <w:t xml:space="preserve">Είσοδος</w:t>
            </w:r>
          </w:p>
        </w:tc>
        <w:tc>
          <w:tcPr>
            <w:tcW w:w="2649" w:type="dxa"/>
          </w:tcPr>
          <w:p>
            <w:pPr>
              <w:pStyle w:val="Compact"/>
              <w:jc w:val="left"/>
            </w:pPr>
            <w:r>
              <w:t xml:space="preserve">Αναμενόμενη απόκριση (κωδικός, σώμα)</w:t>
            </w:r>
          </w:p>
        </w:tc>
        <w:tc>
          <w:tcPr>
            <w:tcW w:w="1835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TC-IT-01</w:t>
            </w:r>
          </w:p>
        </w:tc>
        <w:tc>
          <w:tcPr>
            <w:tcW w:w="1376" w:type="dxa"/>
          </w:tcPr>
          <w:p>
            <w:pPr>
              <w:pStyle w:val="Compact"/>
            </w:pPr>
          </w:p>
        </w:tc>
        <w:tc>
          <w:tcPr>
            <w:tcW w:w="1682" w:type="dxa"/>
          </w:tcPr>
          <w:p>
            <w:pPr>
              <w:pStyle w:val="Compact"/>
            </w:pPr>
          </w:p>
        </w:tc>
        <w:tc>
          <w:tcPr>
            <w:tcW w:w="1682" w:type="dxa"/>
          </w:tcPr>
          <w:p>
            <w:pPr>
              <w:pStyle w:val="Compact"/>
            </w:pPr>
          </w:p>
        </w:tc>
        <w:tc>
          <w:tcPr>
            <w:tcW w:w="2649" w:type="dxa"/>
          </w:tcPr>
          <w:p>
            <w:pPr>
              <w:pStyle w:val="Compact"/>
            </w:pPr>
          </w:p>
        </w:tc>
        <w:tc>
          <w:tcPr>
            <w:tcW w:w="1835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Συμπεριλάβετε σενάρια αποτυχίας εξαρτήσεων: η ταυτοποίηση δεν απαντά, απαντά αργά, απαντά με σφάλμα.</w:t>
      </w:r>
    </w:p>
    <w:bookmarkEnd w:id="27"/>
    <w:bookmarkStart w:id="28" w:name="Xc94bc2baf849c0af32641da3b7c974f938c95d7"/>
    <w:p>
      <w:pPr>
        <w:pStyle w:val="Heading2"/>
      </w:pPr>
      <w:r>
        <w:t xml:space="preserve">6. Contract tests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610"/>
        <w:gridCol w:w="5034"/>
        <w:gridCol w:w="3220"/>
      </w:tblGrid>
      <w:tr>
        <w:trPr>
          <w:tblHeader w:val="true"/>
        </w:trPr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Υπηρεσία</w:t>
            </w:r>
          </w:p>
        </w:tc>
        <w:tc>
          <w:tcPr>
            <w:tcW w:w="5034" w:type="dxa"/>
          </w:tcPr>
          <w:p>
            <w:pPr>
              <w:pStyle w:val="Compact"/>
              <w:jc w:val="left"/>
            </w:pPr>
            <w:r>
              <w:t xml:space="preserve">Συμβόλαιο (τι υποθέτουμε)</w:t>
            </w:r>
          </w:p>
        </w:tc>
        <w:tc>
          <w:tcPr>
            <w:tcW w:w="3220" w:type="dxa"/>
          </w:tcPr>
          <w:p>
            <w:pPr>
              <w:pStyle w:val="Compact"/>
              <w:jc w:val="left"/>
            </w:pPr>
            <w:r>
              <w:t xml:space="preserve">Πώς επαληθεύεται</w:t>
            </w:r>
          </w:p>
        </w:tc>
      </w:tr>
      <w:tr>
        <w:tc>
          <w:tcPr>
            <w:tcW w:w="1610" w:type="dxa"/>
          </w:tcPr>
          <w:p>
            <w:pPr>
              <w:pStyle w:val="Compact"/>
            </w:pPr>
          </w:p>
        </w:tc>
        <w:tc>
          <w:tcPr>
            <w:tcW w:w="5034" w:type="dxa"/>
          </w:tcPr>
          <w:p>
            <w:pPr>
              <w:pStyle w:val="Compact"/>
            </w:pPr>
          </w:p>
        </w:tc>
        <w:tc>
          <w:tcPr>
            <w:tcW w:w="3220" w:type="dxa"/>
          </w:tcPr>
          <w:p>
            <w:pPr>
              <w:pStyle w:val="Compact"/>
            </w:pPr>
          </w:p>
        </w:tc>
      </w:tr>
    </w:tbl>
    <w:bookmarkEnd w:id="28"/>
    <w:bookmarkStart w:id="29" w:name="X5556a92039543765104df07e14908085f4e4b8f"/>
    <w:p>
      <w:pPr>
        <w:pStyle w:val="Heading2"/>
      </w:pPr>
      <w:r>
        <w:t xml:space="preserve">7. Regression suite</w:t>
      </w:r>
    </w:p>
    <w:p>
      <w:pPr>
        <w:pStyle w:val="BlockText"/>
      </w:pPr>
      <w:r>
        <w:t xml:space="preserve">Ποια tests αποτελούν τη regression suite μετά την αλλαγή, πόσο χρόνο παίρνει, πότε εκτελείται.</w:t>
      </w:r>
    </w:p>
    <w:bookmarkEnd w:id="29"/>
    <w:bookmarkStart w:id="30" w:name="Xf2b7fe3e54bdd8ffe31e0aa769242e599e38383"/>
    <w:p>
      <w:pPr>
        <w:pStyle w:val="Heading2"/>
      </w:pPr>
      <w:r>
        <w:t xml:space="preserve">8. Αποτελέσματα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849"/>
        <w:gridCol w:w="1849"/>
        <w:gridCol w:w="1849"/>
        <w:gridCol w:w="4317"/>
      </w:tblGrid>
      <w:tr>
        <w:trPr>
          <w:tblHeader w:val="true"/>
        </w:trPr>
        <w:tc>
          <w:tcPr>
            <w:tcW w:w="1849" w:type="dxa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W w:w="1849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w="1849" w:type="dxa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>
            <w:tcW w:w="4317" w:type="dxa"/>
          </w:tcPr>
          <w:p>
            <w:pPr>
              <w:pStyle w:val="Compact"/>
              <w:jc w:val="left"/>
            </w:pPr>
            <w:r>
              <w:t xml:space="preserve">Νέα ελαττώματα</w:t>
            </w:r>
          </w:p>
        </w:tc>
      </w:tr>
      <w:tr>
        <w:tc>
          <w:tcPr>
            <w:tcW w:w="1849" w:type="dxa"/>
          </w:tcPr>
          <w:p>
            <w:pPr>
              <w:pStyle w:val="Compact"/>
            </w:pPr>
          </w:p>
        </w:tc>
        <w:tc>
          <w:tcPr>
            <w:tcW w:w="1849" w:type="dxa"/>
          </w:tcPr>
          <w:p>
            <w:pPr>
              <w:pStyle w:val="Compact"/>
            </w:pPr>
          </w:p>
        </w:tc>
        <w:tc>
          <w:tcPr>
            <w:tcW w:w="1849" w:type="dxa"/>
          </w:tcPr>
          <w:p>
            <w:pPr>
              <w:pStyle w:val="Compact"/>
            </w:pPr>
          </w:p>
        </w:tc>
        <w:tc>
          <w:tcPr>
            <w:tcW w:w="4317" w:type="dxa"/>
          </w:tcPr>
          <w:p>
            <w:pPr>
              <w:pStyle w:val="Compact"/>
            </w:pP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