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c9ce40b5b3d4759f641eb8958f33d1c49fbf03"/>
    <w:p>
      <w:pPr>
        <w:pStyle w:val="Heading1"/>
      </w:pPr>
      <w:r>
        <w:t xml:space="preserve">Εβδομάδα 13 · Τελική αναφορά ποιότητας · StudyRoom</w:t>
      </w:r>
    </w:p>
    <w:p>
      <w:pPr>
        <w:pStyle w:val="BlockText"/>
      </w:pPr>
      <w:r>
        <w:t xml:space="preserve">Πρότυπα αναφοράς: ISO/IEC 25040, ολοκλήρωση αξιολόγησης και αναφορά αποτελεσμάτων προς τα ενδιαφερόμενα μέρη · ISO/IEC/IEEE 29119-3, αναφορά ολοκλήρωσης ελέγχου. Η αναφορά απευθύνεται στη βιβλιοθήκη και απαντά σε ένα ερώτημα: τι ξέρουμε για την ποιότητα του StudyRoom και με πόση βεβαιότητα. Έκταση 6–10 σελίδες.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final ·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t xml:space="preserve">[hash]</w:t>
      </w:r>
    </w:p>
    <w:bookmarkStart w:id="20" w:name="X22182d44747919faad448bfe67c754fca40b2b2"/>
    <w:p>
      <w:pPr>
        <w:pStyle w:val="Heading2"/>
      </w:pPr>
      <w:r>
        <w:t xml:space="preserve">1. Σύνοψη για τη βιβλιοθήκη</w:t>
      </w:r>
    </w:p>
    <w:p>
      <w:pPr>
        <w:pStyle w:val="BlockText"/>
      </w:pPr>
      <w:r>
        <w:t xml:space="preserve">Μία σελίδα, χωρίς τεχνική ορολογία: είναι το σύστημα έτοιμο για μόνιμη λειτουργία; Υπό ποιους όρους;</w:t>
      </w:r>
    </w:p>
    <w:bookmarkEnd w:id="20"/>
    <w:bookmarkStart w:id="21" w:name="Xce24ae7d6fe7d72000d5d5ccf183a0455edb73e"/>
    <w:p>
      <w:pPr>
        <w:pStyle w:val="Heading2"/>
      </w:pPr>
      <w:r>
        <w:t xml:space="preserve">2. Αντικείμενο και έκδοση που αξιολογήθηκε</w:t>
      </w:r>
    </w:p>
    <w:bookmarkEnd w:id="21"/>
    <w:bookmarkStart w:id="22" w:name="X32614681bd6656de317054f0b92e7481fddf6a9"/>
    <w:p>
      <w:pPr>
        <w:pStyle w:val="Heading2"/>
      </w:pPr>
      <w:r>
        <w:t xml:space="preserve">3. Αποτελέσματα ανά χαρακτηριστικό ποιότητας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941"/>
        <w:gridCol w:w="734"/>
        <w:gridCol w:w="1049"/>
        <w:gridCol w:w="1678"/>
        <w:gridCol w:w="1049"/>
        <w:gridCol w:w="2413"/>
      </w:tblGrid>
      <w:tr>
        <w:trPr>
          <w:tblHeader w:val="true"/>
        </w:trPr>
        <w:tc>
          <w:tcPr>
            <w:tcW w:w="2941" w:type="dxa"/>
          </w:tcPr>
          <w:p>
            <w:pPr>
              <w:pStyle w:val="Compact"/>
              <w:jc w:val="left"/>
            </w:pPr>
            <w:r>
              <w:t xml:space="preserve">Χαρακτηριστικό ISO/IEC 25010</w:t>
            </w:r>
          </w:p>
        </w:tc>
        <w:tc>
          <w:tcPr>
            <w:tcW w:w="734" w:type="dxa"/>
          </w:tcPr>
          <w:p>
            <w:pPr>
              <w:pStyle w:val="Compact"/>
              <w:jc w:val="left"/>
            </w:pPr>
            <w:r>
              <w:t xml:space="preserve">Σημασία</w:t>
            </w:r>
          </w:p>
        </w:tc>
        <w:tc>
          <w:tcPr>
            <w:tcW w:w="1049" w:type="dxa"/>
          </w:tcPr>
          <w:p>
            <w:pPr>
              <w:pStyle w:val="Compact"/>
              <w:jc w:val="left"/>
            </w:pPr>
            <w:r>
              <w:t xml:space="preserve">Απαιτήσεις</w:t>
            </w:r>
          </w:p>
        </w:tc>
        <w:tc>
          <w:tcPr>
            <w:tcW w:w="1678" w:type="dxa"/>
          </w:tcPr>
          <w:p>
            <w:pPr>
              <w:pStyle w:val="Compact"/>
              <w:jc w:val="left"/>
            </w:pPr>
            <w:r>
              <w:t xml:space="preserve">Πώς αξιολογήθηκε</w:t>
            </w:r>
          </w:p>
        </w:tc>
        <w:tc>
          <w:tcPr>
            <w:tcW w:w="1049" w:type="dxa"/>
          </w:tcPr>
          <w:p>
            <w:pPr>
              <w:pStyle w:val="Compact"/>
              <w:jc w:val="left"/>
            </w:pPr>
            <w:r>
              <w:t xml:space="preserve">Αποτέλεσμα</w:t>
            </w:r>
          </w:p>
        </w:tc>
        <w:tc>
          <w:tcPr>
            <w:tcW w:w="2413" w:type="dxa"/>
          </w:tcPr>
          <w:p>
            <w:pPr>
              <w:pStyle w:val="Compact"/>
              <w:jc w:val="left"/>
            </w:pPr>
            <w:r>
              <w:t xml:space="preserve">Βεβαιότητα</w:t>
            </w:r>
          </w:p>
        </w:tc>
      </w:tr>
      <w:tr>
        <w:tc>
          <w:tcPr>
            <w:tcW w:w="2941" w:type="dxa"/>
          </w:tcPr>
          <w:p>
            <w:pPr>
              <w:pStyle w:val="Compact"/>
            </w:pPr>
          </w:p>
        </w:tc>
        <w:tc>
          <w:tcPr>
            <w:tcW w:w="734" w:type="dxa"/>
          </w:tcPr>
          <w:p>
            <w:pPr>
              <w:pStyle w:val="Compact"/>
            </w:pPr>
          </w:p>
        </w:tc>
        <w:tc>
          <w:tcPr>
            <w:tcW w:w="1049" w:type="dxa"/>
          </w:tcPr>
          <w:p>
            <w:pPr>
              <w:pStyle w:val="Compact"/>
            </w:pPr>
          </w:p>
        </w:tc>
        <w:tc>
          <w:tcPr>
            <w:tcW w:w="1678" w:type="dxa"/>
          </w:tcPr>
          <w:p>
            <w:pPr>
              <w:pStyle w:val="Compact"/>
            </w:pPr>
          </w:p>
        </w:tc>
        <w:tc>
          <w:tcPr>
            <w:tcW w:w="1049" w:type="dxa"/>
          </w:tcPr>
          <w:p>
            <w:pPr>
              <w:pStyle w:val="Compact"/>
            </w:pPr>
          </w:p>
        </w:tc>
        <w:tc>
          <w:tcPr>
            <w:tcW w:w="2413" w:type="dxa"/>
          </w:tcPr>
          <w:p>
            <w:pPr>
              <w:pStyle w:val="Compact"/>
              <w:jc w:val="left"/>
            </w:pPr>
            <w:r>
              <w:t xml:space="preserve">Υψηλή / Μέτρια / Χαμηλή</w:t>
            </w:r>
          </w:p>
        </w:tc>
      </w:tr>
    </w:tbl>
    <w:bookmarkEnd w:id="22"/>
    <w:bookmarkStart w:id="23" w:name="Xc618b93c3c16ff761f7d9d76788eee6f3897a8e"/>
    <w:p>
      <w:pPr>
        <w:pStyle w:val="Heading2"/>
      </w:pPr>
      <w:r>
        <w:t xml:space="preserve">4. Κατάσταση κινδύνων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996"/>
        <w:gridCol w:w="2497"/>
        <w:gridCol w:w="1123"/>
        <w:gridCol w:w="3248"/>
      </w:tblGrid>
      <w:tr>
        <w:trPr>
          <w:tblHeader w:val="true"/>
        </w:trPr>
        <w:tc>
          <w:tcPr>
            <w:tcW w:w="2996" w:type="dxa"/>
          </w:tcPr>
          <w:p>
            <w:pPr>
              <w:pStyle w:val="Compact"/>
              <w:jc w:val="left"/>
            </w:pPr>
            <w:r>
              <w:t xml:space="preserve">Κίνδυνος</w:t>
            </w:r>
          </w:p>
        </w:tc>
        <w:tc>
          <w:tcPr>
            <w:tcW w:w="2497" w:type="dxa"/>
          </w:tcPr>
          <w:p>
            <w:pPr>
              <w:pStyle w:val="Compact"/>
              <w:jc w:val="left"/>
            </w:pPr>
            <w:r>
              <w:t xml:space="preserve">Αρχική προτεραιότητα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Ενέργειες</w:t>
            </w:r>
          </w:p>
        </w:tc>
        <w:tc>
          <w:tcPr>
            <w:tcW w:w="3248" w:type="dxa"/>
          </w:tcPr>
          <w:p>
            <w:pPr>
              <w:pStyle w:val="Compact"/>
              <w:jc w:val="left"/>
            </w:pPr>
            <w:r>
              <w:t xml:space="preserve">Υπολειπόμενη προτεραιότητα</w:t>
            </w:r>
          </w:p>
        </w:tc>
      </w:tr>
      <w:tr>
        <w:tc>
          <w:tcPr>
            <w:tcW w:w="2996" w:type="dxa"/>
          </w:tcPr>
          <w:p>
            <w:pPr>
              <w:pStyle w:val="Compact"/>
            </w:pPr>
          </w:p>
        </w:tc>
        <w:tc>
          <w:tcPr>
            <w:tcW w:w="2497" w:type="dxa"/>
          </w:tcPr>
          <w:p>
            <w:pPr>
              <w:pStyle w:val="Compact"/>
            </w:pPr>
          </w:p>
        </w:tc>
        <w:tc>
          <w:tcPr>
            <w:tcW w:w="1123" w:type="dxa"/>
          </w:tcPr>
          <w:p>
            <w:pPr>
              <w:pStyle w:val="Compact"/>
            </w:pPr>
          </w:p>
        </w:tc>
        <w:tc>
          <w:tcPr>
            <w:tcW w:w="3248" w:type="dxa"/>
          </w:tcPr>
          <w:p>
            <w:pPr>
              <w:pStyle w:val="Compact"/>
            </w:pPr>
          </w:p>
        </w:tc>
      </w:tr>
    </w:tbl>
    <w:bookmarkEnd w:id="23"/>
    <w:bookmarkStart w:id="24" w:name="X4d3f838c11ff61c9aca6ada28980b6958e239f7"/>
    <w:p>
      <w:pPr>
        <w:pStyle w:val="Heading2"/>
      </w:pPr>
      <w:r>
        <w:t xml:space="preserve">5. Σύνοψη ελέγχου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206"/>
        <w:gridCol w:w="778"/>
        <w:gridCol w:w="778"/>
        <w:gridCol w:w="778"/>
        <w:gridCol w:w="778"/>
        <w:gridCol w:w="4546"/>
      </w:tblGrid>
      <w:tr>
        <w:trPr>
          <w:tblHeader w:val="true"/>
        </w:trPr>
        <w:tc>
          <w:tcPr>
            <w:tcW w:w="2206" w:type="dxa"/>
          </w:tcPr>
          <w:p>
            <w:pPr>
              <w:pStyle w:val="Compact"/>
              <w:jc w:val="left"/>
            </w:pPr>
            <w:r>
              <w:t xml:space="preserve">Επίπεδο</w:t>
            </w:r>
          </w:p>
        </w:tc>
        <w:tc>
          <w:tcPr>
            <w:tcW w:w="778" w:type="dxa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W w:w="778" w:type="dxa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w="778" w:type="dxa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>
            <w:tcW w:w="778" w:type="dxa"/>
          </w:tcPr>
          <w:p>
            <w:pPr>
              <w:pStyle w:val="Compact"/>
              <w:jc w:val="left"/>
            </w:pPr>
            <w:r>
              <w:t xml:space="preserve">Κάλυψη</w:t>
            </w:r>
          </w:p>
        </w:tc>
        <w:tc>
          <w:tcPr>
            <w:tcW w:w="4546" w:type="dxa"/>
          </w:tcPr>
          <w:p>
            <w:pPr>
              <w:pStyle w:val="Compact"/>
              <w:jc w:val="left"/>
            </w:pPr>
            <w:r>
              <w:t xml:space="preserve">Ανοικτά ελαττώματα (ανά σοβαρότητα)</w:t>
            </w:r>
          </w:p>
        </w:tc>
      </w:tr>
      <w:tr>
        <w:tc>
          <w:tcPr>
            <w:tcW w:w="2206" w:type="dxa"/>
          </w:tcPr>
          <w:p>
            <w:pPr>
              <w:pStyle w:val="Compact"/>
              <w:jc w:val="left"/>
            </w:pPr>
            <w:r>
              <w:t xml:space="preserve">Μονάδων</w:t>
            </w: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4546" w:type="dxa"/>
          </w:tcPr>
          <w:p>
            <w:pPr>
              <w:pStyle w:val="Compact"/>
            </w:pPr>
          </w:p>
        </w:tc>
      </w:tr>
      <w:tr>
        <w:tc>
          <w:tcPr>
            <w:tcW w:w="2206" w:type="dxa"/>
          </w:tcPr>
          <w:p>
            <w:pPr>
              <w:pStyle w:val="Compact"/>
              <w:jc w:val="left"/>
            </w:pPr>
            <w:r>
              <w:t xml:space="preserve">Ολοκλήρωσης / API</w:t>
            </w: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4546" w:type="dxa"/>
          </w:tcPr>
          <w:p>
            <w:pPr>
              <w:pStyle w:val="Compact"/>
            </w:pPr>
          </w:p>
        </w:tc>
      </w:tr>
      <w:tr>
        <w:tc>
          <w:tcPr>
            <w:tcW w:w="2206" w:type="dxa"/>
          </w:tcPr>
          <w:p>
            <w:pPr>
              <w:pStyle w:val="Compact"/>
              <w:jc w:val="left"/>
            </w:pPr>
            <w:r>
              <w:t xml:space="preserve">Αποδοχής</w:t>
            </w: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4546" w:type="dxa"/>
          </w:tcPr>
          <w:p>
            <w:pPr>
              <w:pStyle w:val="Compact"/>
            </w:pPr>
          </w:p>
        </w:tc>
      </w:tr>
      <w:tr>
        <w:tc>
          <w:tcPr>
            <w:tcW w:w="2206" w:type="dxa"/>
          </w:tcPr>
          <w:p>
            <w:pPr>
              <w:pStyle w:val="Compact"/>
              <w:jc w:val="left"/>
            </w:pPr>
            <w:r>
              <w:t xml:space="preserve">Απόδοσης</w:t>
            </w: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778" w:type="dxa"/>
          </w:tcPr>
          <w:p>
            <w:pPr>
              <w:pStyle w:val="Compact"/>
            </w:pPr>
          </w:p>
        </w:tc>
        <w:tc>
          <w:tcPr>
            <w:tcW w:w="4546" w:type="dxa"/>
          </w:tcPr>
          <w:p>
            <w:pPr>
              <w:pStyle w:val="Compact"/>
            </w:pPr>
          </w:p>
        </w:tc>
      </w:tr>
    </w:tbl>
    <w:bookmarkEnd w:id="24"/>
    <w:bookmarkStart w:id="25" w:name="X0ff947605a7b421162d4dcfb23fa2e674c4a356"/>
    <w:p>
      <w:pPr>
        <w:pStyle w:val="Heading2"/>
      </w:pPr>
      <w:r>
        <w:t xml:space="preserve">6. Ιχνηλασιμότητα</w:t>
      </w:r>
    </w:p>
    <w:p>
      <w:pPr>
        <w:pStyle w:val="BlockText"/>
      </w:pPr>
      <w:r>
        <w:t xml:space="preserve">Ποσοστό απαιτήσεων με επαληθευμένο test· απαιτήσεις Must χωρίς επαλήθευση· αιτιολόγηση.</w:t>
      </w:r>
    </w:p>
    <w:bookmarkEnd w:id="25"/>
    <w:bookmarkStart w:id="26" w:name="X258511ab04f88419e4379ba5ec7c6aebe6ffeb7"/>
    <w:p>
      <w:pPr>
        <w:pStyle w:val="Heading2"/>
      </w:pPr>
      <w:r>
        <w:t xml:space="preserve">7. Τι δεν ελέγχθηκε</w:t>
      </w:r>
    </w:p>
    <w:p>
      <w:pPr>
        <w:pStyle w:val="BlockText"/>
      </w:pPr>
      <w:r>
        <w:t xml:space="preserve">Η πιο σημαντική ενότητα. Τι μένει ανέλεγκτο, γιατί, και τι κίνδυνο αφήνει.</w:t>
      </w:r>
    </w:p>
    <w:bookmarkEnd w:id="26"/>
    <w:bookmarkStart w:id="27" w:name="X21589930a3ff4b4a460b2fdb9f6e6806cad32d5"/>
    <w:p>
      <w:pPr>
        <w:pStyle w:val="Heading2"/>
      </w:pPr>
      <w:r>
        <w:t xml:space="preserve">8. Αλλαγές κατά το εξάμηνο</w:t>
      </w:r>
    </w:p>
    <w:p>
      <w:pPr>
        <w:pStyle w:val="BlockText"/>
      </w:pPr>
      <w:r>
        <w:t xml:space="preserve">Σύνοψη του CHANGELOG: ποιες αλλαγές προδιαγραφών είχαν τη μεγαλύτερη επίπτωση και πώς τις χειριστήκατε.</w:t>
      </w:r>
    </w:p>
    <w:bookmarkEnd w:id="27"/>
    <w:bookmarkStart w:id="28" w:name="X1df3a5ef8bdb5b9f2957769cad3a68fde65ae15"/>
    <w:p>
      <w:pPr>
        <w:pStyle w:val="Heading2"/>
      </w:pPr>
      <w:r>
        <w:t xml:space="preserve">9. Συστάσεις</w:t>
      </w:r>
    </w:p>
    <w:bookmarkEnd w:id="28"/>
    <w:bookmarkStart w:id="29" w:name="Xf3c87d015ffc5740f6923c6f69ef09b6a756626"/>
    <w:p>
      <w:pPr>
        <w:pStyle w:val="Heading2"/>
      </w:pPr>
      <w:r>
        <w:t xml:space="preserve">10. Διδάγματα της ομάδας</w:t>
      </w:r>
    </w:p>
    <w:p>
      <w:pPr>
        <w:pStyle w:val="BlockText"/>
      </w:pPr>
      <w:r>
        <w:t xml:space="preserve">Τι θα κάνατε διαφορετικά από την Εβδομάδα 1.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