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AD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2E7C3C9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1D02A1E7" wp14:editId="56A9DEF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04EE00C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7B5D092" wp14:editId="750F506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CF5E0A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4FB884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D21D7" wp14:editId="2C581072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D2784D" w14:textId="77777777" w:rsidR="00B66DAA" w:rsidRDefault="00B66DAA" w:rsidP="00B66DA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55DEEEC" w14:textId="77777777" w:rsidR="00B66DAA" w:rsidRDefault="00B66DAA" w:rsidP="00B66DA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8D21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40D2784D" w14:textId="77777777" w:rsidR="00B66DAA" w:rsidRDefault="00B66DAA" w:rsidP="00B66DA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55DEEEC" w14:textId="77777777" w:rsidR="00B66DAA" w:rsidRDefault="00B66DAA" w:rsidP="00B66DAA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2D6B1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833D02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60C8678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033915F8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400C6FBC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38275252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578DE828" w14:textId="1D9DF201" w:rsidR="00B66DAA" w:rsidRPr="0070689B" w:rsidRDefault="00B66DAA" w:rsidP="00B66DAA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36BA8C3C" w14:textId="2DA2A8C6" w:rsidR="00B66DAA" w:rsidRPr="00B66DAA" w:rsidRDefault="00B66DAA" w:rsidP="00B66DAA">
      <w:pPr>
        <w:pStyle w:val="Header"/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B66DAA">
        <w:rPr>
          <w:sz w:val="28"/>
          <w:szCs w:val="28"/>
        </w:rPr>
        <w:t>Indexing various devices in IoT platform</w:t>
      </w:r>
    </w:p>
    <w:p w14:paraId="3B5A091A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BECB44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66DAA" w:rsidRPr="0070689B" w14:paraId="317C41C5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C8F1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AC33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1AE2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E52C2" w:rsidRPr="0070689B" w14:paraId="05FE0ACC" w14:textId="77777777" w:rsidTr="003E52C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3EB1A" w14:textId="62A68239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8D730C">
              <w:rPr>
                <w:sz w:val="27"/>
                <w:szCs w:val="27"/>
                <w:lang w:val="en-IN"/>
              </w:rPr>
              <w:t>9703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EF154" w14:textId="236C1F2D" w:rsidR="003E52C2" w:rsidRPr="0070689B" w:rsidRDefault="003E52C2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8D730C">
              <w:rPr>
                <w:sz w:val="27"/>
                <w:szCs w:val="27"/>
                <w:lang w:val="en-IN"/>
              </w:rPr>
              <w:t>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CF5C9" w14:textId="77CEE165" w:rsidR="003E52C2" w:rsidRPr="0070689B" w:rsidRDefault="008D730C" w:rsidP="003E52C2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YERASI AKSHAYA </w:t>
            </w:r>
          </w:p>
        </w:tc>
      </w:tr>
    </w:tbl>
    <w:p w14:paraId="17DC3695" w14:textId="5799B4F5" w:rsidR="00502496" w:rsidRDefault="00502496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688565" w14:textId="77777777" w:rsidR="00F51C2E" w:rsidRDefault="00F51C2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397AEF" w14:textId="77777777" w:rsidR="00F51C2E" w:rsidRDefault="00F51C2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3A0C61" w14:textId="77777777" w:rsidR="00F51C2E" w:rsidRDefault="00F51C2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6A123E8" w14:textId="77777777" w:rsidR="00ED095B" w:rsidRDefault="00ED095B" w:rsidP="007C13C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C180E0" w14:textId="29DD3759" w:rsidR="007C13CF" w:rsidRPr="006708B6" w:rsidRDefault="007C13CF" w:rsidP="006708B6">
      <w:proofErr w:type="spellStart"/>
      <w:r w:rsidRPr="007C13CF">
        <w:rPr>
          <w:rFonts w:ascii="Times New Roman" w:eastAsia="Times New Roman" w:hAnsi="Times New Roman" w:cs="Times New Roman"/>
          <w:b/>
          <w:bCs/>
          <w:sz w:val="27"/>
          <w:szCs w:val="27"/>
        </w:rPr>
        <w:t>Defense</w:t>
      </w:r>
      <w:proofErr w:type="spellEnd"/>
      <w:r w:rsidRPr="007C13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Analytics and Equipment</w:t>
      </w:r>
    </w:p>
    <w:p w14:paraId="5179E7FE" w14:textId="77777777" w:rsidR="007C13CF" w:rsidRPr="007C13CF" w:rsidRDefault="007C13CF" w:rsidP="007C13C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3CF">
        <w:rPr>
          <w:rFonts w:ascii="Times New Roman" w:eastAsia="Times New Roman" w:hAnsi="Times New Roman" w:cs="Times New Roman"/>
          <w:b/>
          <w:bCs/>
          <w:sz w:val="27"/>
          <w:szCs w:val="27"/>
        </w:rPr>
        <w:t>Maintenance Cost Management</w:t>
      </w:r>
    </w:p>
    <w:p w14:paraId="4CC5D436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The nation’s armed forces manage an enormous operational structure that includes more than one</w:t>
      </w:r>
    </w:p>
    <w:p w14:paraId="5C6B0CC2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million soldiers and about 200,000 civilian staff. Each of these personnel depends on multiple</w:t>
      </w:r>
    </w:p>
    <w:p w14:paraId="11D552F5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 xml:space="preserve">pieces of equipment — from helicopters and </w:t>
      </w:r>
      <w:proofErr w:type="spellStart"/>
      <w:r w:rsidRPr="00CA6B4C">
        <w:rPr>
          <w:rFonts w:ascii="Times New Roman" w:eastAsia="Times New Roman" w:hAnsi="Times New Roman" w:cs="Times New Roman"/>
          <w:sz w:val="27"/>
          <w:szCs w:val="27"/>
        </w:rPr>
        <w:t>armored</w:t>
      </w:r>
      <w:proofErr w:type="spellEnd"/>
      <w:r w:rsidRPr="00CA6B4C">
        <w:rPr>
          <w:rFonts w:ascii="Times New Roman" w:eastAsia="Times New Roman" w:hAnsi="Times New Roman" w:cs="Times New Roman"/>
          <w:sz w:val="27"/>
          <w:szCs w:val="27"/>
        </w:rPr>
        <w:t xml:space="preserve"> vehicles to small arms and radios — to</w:t>
      </w:r>
    </w:p>
    <w:p w14:paraId="3FDC4ABC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complete their missions efficiently. Given that maintenance, operation, and support costs of</w:t>
      </w:r>
    </w:p>
    <w:p w14:paraId="012BDDF3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equipment can represent as much as 80% of total lifecycle costs, it is imperative for the Ministry of</w:t>
      </w:r>
    </w:p>
    <w:p w14:paraId="0AEE69FB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 xml:space="preserve">Defence to have robust systems to track, </w:t>
      </w:r>
      <w:proofErr w:type="spellStart"/>
      <w:r w:rsidRPr="00CA6B4C">
        <w:rPr>
          <w:rFonts w:ascii="Times New Roman" w:eastAsia="Times New Roman" w:hAnsi="Times New Roman" w:cs="Times New Roman"/>
          <w:sz w:val="27"/>
          <w:szCs w:val="27"/>
        </w:rPr>
        <w:t>analyze</w:t>
      </w:r>
      <w:proofErr w:type="spellEnd"/>
      <w:r w:rsidRPr="00CA6B4C">
        <w:rPr>
          <w:rFonts w:ascii="Times New Roman" w:eastAsia="Times New Roman" w:hAnsi="Times New Roman" w:cs="Times New Roman"/>
          <w:sz w:val="27"/>
          <w:szCs w:val="27"/>
        </w:rPr>
        <w:t>, and forecast equipment maintenance costs.</w:t>
      </w:r>
    </w:p>
    <w:p w14:paraId="77646639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To enhance the efficiency of cost management and operational decision-making, the Ministry seeks</w:t>
      </w:r>
    </w:p>
    <w:p w14:paraId="61B28C35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 xml:space="preserve">to integrate and </w:t>
      </w:r>
      <w:proofErr w:type="spellStart"/>
      <w:r w:rsidRPr="00CA6B4C">
        <w:rPr>
          <w:rFonts w:ascii="Times New Roman" w:eastAsia="Times New Roman" w:hAnsi="Times New Roman" w:cs="Times New Roman"/>
          <w:sz w:val="27"/>
          <w:szCs w:val="27"/>
        </w:rPr>
        <w:t>analyze</w:t>
      </w:r>
      <w:proofErr w:type="spellEnd"/>
      <w:r w:rsidRPr="00CA6B4C">
        <w:rPr>
          <w:rFonts w:ascii="Times New Roman" w:eastAsia="Times New Roman" w:hAnsi="Times New Roman" w:cs="Times New Roman"/>
          <w:sz w:val="27"/>
          <w:szCs w:val="27"/>
        </w:rPr>
        <w:t xml:space="preserve"> data across multiple dimensions. Traditional databases often fall short in</w:t>
      </w:r>
    </w:p>
    <w:p w14:paraId="19B9BA47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handling highly interconnected data such as logistics, equipment, environment, and failure rates. To</w:t>
      </w:r>
    </w:p>
    <w:p w14:paraId="052BF449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address this, the adoption of graph databases and advanced analytical models is proposed. These</w:t>
      </w:r>
    </w:p>
    <w:p w14:paraId="02475ABB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technologies provide flexibility, scalability, and the ability to represent complex relationships</w:t>
      </w:r>
    </w:p>
    <w:p w14:paraId="067072FB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between equipment, locations, and operational factors.</w:t>
      </w:r>
    </w:p>
    <w:p w14:paraId="22F7BFC2" w14:textId="77777777" w:rsidR="007C13CF" w:rsidRPr="007C13CF" w:rsidRDefault="007C13CF" w:rsidP="007C13C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3CF">
        <w:rPr>
          <w:rFonts w:ascii="Times New Roman" w:eastAsia="Times New Roman" w:hAnsi="Times New Roman" w:cs="Times New Roman"/>
          <w:b/>
          <w:bCs/>
          <w:sz w:val="27"/>
          <w:szCs w:val="27"/>
        </w:rPr>
        <w:t>1. Multi-Dimensional Cost Comparison and Trend Analysis</w:t>
      </w:r>
    </w:p>
    <w:p w14:paraId="15844546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Yes, the model can perform multi-dimensional cost comparisons and trend analysis. By using graph</w:t>
      </w:r>
    </w:p>
    <w:p w14:paraId="0E624B6D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databases and analytical models, data can be compared across several dimensions such as</w:t>
      </w:r>
    </w:p>
    <w:p w14:paraId="6BF44287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equipment type, geographical location, climatic conditions, and operational frequency. This allows</w:t>
      </w:r>
    </w:p>
    <w:p w14:paraId="14A91C26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the Ministry to identify key cost drivers, spot inefficiencies, and predict future maintenance</w:t>
      </w:r>
    </w:p>
    <w:p w14:paraId="36A98EE2" w14:textId="77777777" w:rsidR="007C13CF" w:rsidRPr="00CA6B4C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CA6B4C">
        <w:rPr>
          <w:rFonts w:ascii="Times New Roman" w:eastAsia="Times New Roman" w:hAnsi="Times New Roman" w:cs="Times New Roman"/>
          <w:sz w:val="27"/>
          <w:szCs w:val="27"/>
        </w:rPr>
        <w:t>expenditures with improved accuracy.</w:t>
      </w:r>
    </w:p>
    <w:p w14:paraId="21DB4CF8" w14:textId="77777777" w:rsidR="007C13CF" w:rsidRPr="007C13CF" w:rsidRDefault="007C13CF" w:rsidP="007C13C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3CF">
        <w:rPr>
          <w:rFonts w:ascii="Times New Roman" w:eastAsia="Times New Roman" w:hAnsi="Times New Roman" w:cs="Times New Roman"/>
          <w:b/>
          <w:bCs/>
          <w:sz w:val="27"/>
          <w:szCs w:val="27"/>
        </w:rPr>
        <w:t>2. Answering 'What-If' Questions</w:t>
      </w:r>
    </w:p>
    <w:p w14:paraId="752489E7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Yes, the model can answer complex “what-if” questions such as estimating the cost of deploying</w:t>
      </w:r>
    </w:p>
    <w:p w14:paraId="15CB4B85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certain forces and supporting equipment to a new war zone. Using integrated data models and</w:t>
      </w:r>
    </w:p>
    <w:p w14:paraId="331CF6AC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simulation techniques, the system can evaluate the cost impact of different deployment scenarios</w:t>
      </w:r>
    </w:p>
    <w:p w14:paraId="792FF7A7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by considering factors like logistics routes, climate conditions, transportation methods, and mean</w:t>
      </w:r>
    </w:p>
    <w:p w14:paraId="403CB356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time to failure rates.</w:t>
      </w:r>
    </w:p>
    <w:p w14:paraId="73B8B2D8" w14:textId="77777777" w:rsidR="007C13CF" w:rsidRPr="007C13CF" w:rsidRDefault="007C13CF" w:rsidP="007C13C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3CF">
        <w:rPr>
          <w:rFonts w:ascii="Times New Roman" w:eastAsia="Times New Roman" w:hAnsi="Times New Roman" w:cs="Times New Roman"/>
          <w:b/>
          <w:bCs/>
          <w:sz w:val="27"/>
          <w:szCs w:val="27"/>
        </w:rPr>
        <w:t>3. Managing Unpredictable Maintenance Costs</w:t>
      </w:r>
    </w:p>
    <w:p w14:paraId="0FB2090D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Yes, the proposed solution significantly improves data management in addressing unpredictable</w:t>
      </w:r>
    </w:p>
    <w:p w14:paraId="3C11DF83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maintenance costs. By leveraging real-time data monitoring, predictive analytics, and historical</w:t>
      </w:r>
    </w:p>
    <w:p w14:paraId="14B86961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trend analysis, the model helps decision-makers foresee unexpected maintenance demands and</w:t>
      </w:r>
    </w:p>
    <w:p w14:paraId="01AF57FA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optimize resource allocation. The system also enhances forecasting for spare parts, manpower,</w:t>
      </w:r>
    </w:p>
    <w:p w14:paraId="3ECECBF7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and logistics, ensuring better operational readiness and cost control.</w:t>
      </w:r>
    </w:p>
    <w:p w14:paraId="1E739AC7" w14:textId="77777777" w:rsidR="007C13CF" w:rsidRPr="007C13CF" w:rsidRDefault="007C13CF" w:rsidP="007C13C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3CF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540578D1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By adopting a graph-based and AI-driven data management approach, the Ministry of Defence can</w:t>
      </w:r>
    </w:p>
    <w:p w14:paraId="70F8D06D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gain deeper insights into maintenance cost drivers, perform more accurate forecasts, and make</w:t>
      </w:r>
    </w:p>
    <w:p w14:paraId="1460D206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data-backed operational decisions. This solution not only strengthens the ability to answer strategic</w:t>
      </w:r>
    </w:p>
    <w:p w14:paraId="6165DD5C" w14:textId="77777777" w:rsidR="007C13CF" w:rsidRPr="00DA38A6" w:rsidRDefault="007C13CF" w:rsidP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>“what-if” questions but also improves efficiency in managing the life cycle of military equipment.</w:t>
      </w:r>
    </w:p>
    <w:p w14:paraId="750A14C3" w14:textId="1BEA0092" w:rsidR="00F51C2E" w:rsidRPr="00DA38A6" w:rsidRDefault="007C13CF">
      <w:pPr>
        <w:rPr>
          <w:rFonts w:ascii="Times New Roman" w:eastAsia="Times New Roman" w:hAnsi="Times New Roman" w:cs="Times New Roman"/>
          <w:sz w:val="27"/>
          <w:szCs w:val="27"/>
        </w:rPr>
      </w:pPr>
      <w:r w:rsidRPr="00DA38A6">
        <w:rPr>
          <w:rFonts w:ascii="Times New Roman" w:eastAsia="Times New Roman" w:hAnsi="Times New Roman" w:cs="Times New Roman"/>
          <w:sz w:val="27"/>
          <w:szCs w:val="27"/>
        </w:rPr>
        <w:t xml:space="preserve">Ultimately, it enhances overall </w:t>
      </w:r>
      <w:proofErr w:type="spellStart"/>
      <w:r w:rsidRPr="00DA38A6">
        <w:rPr>
          <w:rFonts w:ascii="Times New Roman" w:eastAsia="Times New Roman" w:hAnsi="Times New Roman" w:cs="Times New Roman"/>
          <w:sz w:val="27"/>
          <w:szCs w:val="27"/>
        </w:rPr>
        <w:t>defense</w:t>
      </w:r>
      <w:proofErr w:type="spellEnd"/>
      <w:r w:rsidRPr="00DA38A6">
        <w:rPr>
          <w:rFonts w:ascii="Times New Roman" w:eastAsia="Times New Roman" w:hAnsi="Times New Roman" w:cs="Times New Roman"/>
          <w:sz w:val="27"/>
          <w:szCs w:val="27"/>
        </w:rPr>
        <w:t xml:space="preserve"> readiness, transparency, and long-term cost-effectiveness.</w:t>
      </w:r>
    </w:p>
    <w:sectPr w:rsidR="00F51C2E" w:rsidRPr="00DA38A6" w:rsidSect="00B66DAA">
      <w:headerReference w:type="default" r:id="rId9"/>
      <w:pgSz w:w="11906" w:h="16838" w:code="9"/>
      <w:pgMar w:top="1701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B4C6A" w14:textId="77777777" w:rsidR="007855D7" w:rsidRDefault="007855D7" w:rsidP="00502496">
      <w:pPr>
        <w:spacing w:after="0" w:line="240" w:lineRule="auto"/>
      </w:pPr>
      <w:r>
        <w:separator/>
      </w:r>
    </w:p>
  </w:endnote>
  <w:endnote w:type="continuationSeparator" w:id="0">
    <w:p w14:paraId="2B4F837F" w14:textId="77777777" w:rsidR="007855D7" w:rsidRDefault="007855D7" w:rsidP="0050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7D15" w14:textId="77777777" w:rsidR="007855D7" w:rsidRDefault="007855D7" w:rsidP="00502496">
      <w:pPr>
        <w:spacing w:after="0" w:line="240" w:lineRule="auto"/>
      </w:pPr>
      <w:r>
        <w:separator/>
      </w:r>
    </w:p>
  </w:footnote>
  <w:footnote w:type="continuationSeparator" w:id="0">
    <w:p w14:paraId="406E7B58" w14:textId="77777777" w:rsidR="007855D7" w:rsidRDefault="007855D7" w:rsidP="0050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7D2C" w14:textId="629432BB" w:rsidR="00B66DAA" w:rsidRPr="00502496" w:rsidRDefault="00B66DAA" w:rsidP="00B66DAA">
    <w:pPr>
      <w:pStyle w:val="Header"/>
      <w:jc w:val="center"/>
      <w:rPr>
        <w:b/>
        <w:bCs/>
      </w:rPr>
    </w:pPr>
    <w:r w:rsidRPr="00502496">
      <w:rPr>
        <w:b/>
        <w:bCs/>
        <w:sz w:val="32"/>
        <w:szCs w:val="32"/>
      </w:rPr>
      <w:t>TASK 13:USECASE</w:t>
    </w:r>
    <w:r w:rsidRPr="00502496">
      <w:rPr>
        <w:b/>
        <w:bCs/>
        <w:sz w:val="32"/>
        <w:szCs w:val="32"/>
      </w:rPr>
      <w:br/>
    </w:r>
    <w:r w:rsidR="001B2788">
      <w:rPr>
        <w:b/>
        <w:bCs/>
        <w:sz w:val="28"/>
        <w:szCs w:val="28"/>
      </w:rPr>
      <w:t xml:space="preserve">Defence data analytics equipment </w:t>
    </w:r>
  </w:p>
  <w:p w14:paraId="0720ED26" w14:textId="200E23CF" w:rsidR="00502496" w:rsidRPr="00B66DAA" w:rsidRDefault="00502496" w:rsidP="00B66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07B0"/>
    <w:multiLevelType w:val="multilevel"/>
    <w:tmpl w:val="42E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96"/>
    <w:rsid w:val="000930EF"/>
    <w:rsid w:val="000C2CB5"/>
    <w:rsid w:val="001B2788"/>
    <w:rsid w:val="003C57DA"/>
    <w:rsid w:val="003E52C2"/>
    <w:rsid w:val="00502496"/>
    <w:rsid w:val="006708B6"/>
    <w:rsid w:val="00710DE3"/>
    <w:rsid w:val="00780EAC"/>
    <w:rsid w:val="007855D7"/>
    <w:rsid w:val="007C13CF"/>
    <w:rsid w:val="008439F3"/>
    <w:rsid w:val="008525C7"/>
    <w:rsid w:val="008D730C"/>
    <w:rsid w:val="00943FEF"/>
    <w:rsid w:val="00A41A7A"/>
    <w:rsid w:val="00B340DE"/>
    <w:rsid w:val="00B66DAA"/>
    <w:rsid w:val="00BB1D65"/>
    <w:rsid w:val="00CA6B4C"/>
    <w:rsid w:val="00DA38A6"/>
    <w:rsid w:val="00ED095B"/>
    <w:rsid w:val="00F51C2E"/>
    <w:rsid w:val="00FA0C9C"/>
    <w:rsid w:val="00FE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666143F"/>
  <w15:chartTrackingRefBased/>
  <w15:docId w15:val="{039DE9D2-5B4D-455B-847C-9B655786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496"/>
  </w:style>
  <w:style w:type="paragraph" w:styleId="Footer">
    <w:name w:val="footer"/>
    <w:basedOn w:val="Normal"/>
    <w:link w:val="Foot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496"/>
  </w:style>
  <w:style w:type="table" w:styleId="TableGrid">
    <w:name w:val="Table Grid"/>
    <w:basedOn w:val="TableNormal"/>
    <w:uiPriority w:val="59"/>
    <w:rsid w:val="00B66DA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Yerasi Akshaya</cp:lastModifiedBy>
  <cp:revision>2</cp:revision>
  <dcterms:created xsi:type="dcterms:W3CDTF">2025-11-01T19:54:00Z</dcterms:created>
  <dcterms:modified xsi:type="dcterms:W3CDTF">2025-11-01T19:54:00Z</dcterms:modified>
</cp:coreProperties>
</file>