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Читаем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https://webformyself.com/7-sposobov-razmeshheniya-elementov-s-pomoshhyu-maketa-css-grid/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Делаем разметку, по уроку с применением имен областям вот этому макету: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2905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ebformyself.com/7-sposobov-razmeshheniya-elementov-s-pomoshhyu-maketa-css-grid/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