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5ECD94" w14:textId="77777777" w:rsidR="00D345AD" w:rsidRPr="000829A4" w:rsidRDefault="00000000">
      <w:pPr>
        <w:spacing w:before="1400"/>
        <w:rPr>
          <w:rFonts w:asciiTheme="majorHAnsi" w:hAnsiTheme="majorHAnsi" w:cstheme="majorHAnsi"/>
        </w:rPr>
      </w:pPr>
      <w:r w:rsidRPr="000829A4">
        <w:rPr>
          <w:rFonts w:asciiTheme="majorHAnsi" w:hAnsiTheme="majorHAnsi" w:cstheme="majorHAnsi"/>
          <w:b/>
          <w:color w:val="E5322B"/>
          <w:sz w:val="32"/>
        </w:rPr>
        <w:t>NIKE</w:t>
      </w:r>
    </w:p>
    <w:p w14:paraId="620184B9" w14:textId="77777777" w:rsidR="00D345AD" w:rsidRPr="000829A4" w:rsidRDefault="00000000">
      <w:pPr>
        <w:pStyle w:val="Title"/>
        <w:spacing w:after="80"/>
        <w:rPr>
          <w:rFonts w:cstheme="majorHAnsi"/>
        </w:rPr>
      </w:pPr>
      <w:r w:rsidRPr="000829A4">
        <w:rPr>
          <w:rFonts w:cstheme="majorHAnsi"/>
        </w:rPr>
        <w:t>Winning the Next Generation</w:t>
      </w:r>
    </w:p>
    <w:p w14:paraId="6F4DA4DD" w14:textId="77777777" w:rsidR="00D345AD" w:rsidRPr="000829A4" w:rsidRDefault="00000000">
      <w:pPr>
        <w:rPr>
          <w:rFonts w:asciiTheme="majorHAnsi" w:hAnsiTheme="majorHAnsi" w:cstheme="majorHAnsi"/>
        </w:rPr>
      </w:pPr>
      <w:r w:rsidRPr="000829A4">
        <w:rPr>
          <w:rFonts w:asciiTheme="majorHAnsi" w:hAnsiTheme="majorHAnsi" w:cstheme="majorHAnsi"/>
          <w:b/>
          <w:color w:val="1F4E78"/>
          <w:sz w:val="34"/>
        </w:rPr>
        <w:t>Gen Z Market Expansion Strategy | India</w:t>
      </w:r>
    </w:p>
    <w:p w14:paraId="10BAB590" w14:textId="77777777" w:rsidR="00D345AD" w:rsidRPr="000829A4" w:rsidRDefault="00D345AD">
      <w:pPr>
        <w:rPr>
          <w:rFonts w:asciiTheme="majorHAnsi" w:hAnsiTheme="majorHAnsi" w:cstheme="majorHAnsi"/>
        </w:rPr>
      </w:pPr>
    </w:p>
    <w:tbl>
      <w:tblPr>
        <w:tblStyle w:val="TableGrid"/>
        <w:tblW w:w="0" w:type="auto"/>
        <w:tblLook w:val="04A0" w:firstRow="1" w:lastRow="0" w:firstColumn="1" w:lastColumn="0" w:noHBand="0" w:noVBand="1"/>
      </w:tblPr>
      <w:tblGrid>
        <w:gridCol w:w="9984"/>
      </w:tblGrid>
      <w:tr w:rsidR="00D345AD" w:rsidRPr="000829A4" w14:paraId="13BAEF8A" w14:textId="77777777">
        <w:tc>
          <w:tcPr>
            <w:tcW w:w="9994" w:type="dxa"/>
            <w:shd w:val="clear" w:color="auto" w:fill="D9EAF7"/>
          </w:tcPr>
          <w:p w14:paraId="65D411C7" w14:textId="77777777" w:rsidR="00D345AD" w:rsidRPr="000829A4" w:rsidRDefault="00000000">
            <w:pPr>
              <w:keepLines/>
              <w:spacing w:after="40"/>
              <w:rPr>
                <w:rFonts w:asciiTheme="majorHAnsi" w:hAnsiTheme="majorHAnsi" w:cstheme="majorHAnsi"/>
              </w:rPr>
            </w:pPr>
            <w:r w:rsidRPr="000829A4">
              <w:rPr>
                <w:rFonts w:asciiTheme="majorHAnsi" w:hAnsiTheme="majorHAnsi" w:cstheme="majorHAnsi"/>
                <w:b/>
                <w:color w:val="17365D"/>
              </w:rPr>
              <w:t xml:space="preserve">CONSULTING REPORT  </w:t>
            </w:r>
            <w:r w:rsidRPr="000829A4">
              <w:rPr>
                <w:rFonts w:asciiTheme="majorHAnsi" w:hAnsiTheme="majorHAnsi" w:cstheme="majorHAnsi"/>
              </w:rPr>
              <w:t>A commercially oriented growth strategy integrating market context, competitor positioning, customer hypotheses, go-to-market recommendations and illustrative financial scenarios.</w:t>
            </w:r>
          </w:p>
        </w:tc>
      </w:tr>
    </w:tbl>
    <w:p w14:paraId="0584385C" w14:textId="77777777" w:rsidR="00D345AD" w:rsidRPr="000829A4" w:rsidRDefault="00D345AD">
      <w:pPr>
        <w:spacing w:after="20"/>
        <w:rPr>
          <w:rFonts w:asciiTheme="majorHAnsi" w:hAnsiTheme="majorHAnsi" w:cstheme="majorHAnsi"/>
        </w:rPr>
      </w:pPr>
    </w:p>
    <w:p w14:paraId="3C72CFE1" w14:textId="77777777" w:rsidR="00D345AD" w:rsidRPr="000829A4" w:rsidRDefault="00000000">
      <w:pPr>
        <w:spacing w:before="440"/>
        <w:rPr>
          <w:rFonts w:asciiTheme="majorHAnsi" w:hAnsiTheme="majorHAnsi" w:cstheme="majorHAnsi"/>
        </w:rPr>
      </w:pPr>
      <w:r w:rsidRPr="000829A4">
        <w:rPr>
          <w:rFonts w:asciiTheme="majorHAnsi" w:hAnsiTheme="majorHAnsi" w:cstheme="majorHAnsi"/>
          <w:b/>
          <w:sz w:val="22"/>
        </w:rPr>
        <w:t>Prepared as an independent portfolio case study</w:t>
      </w:r>
    </w:p>
    <w:p w14:paraId="1B9DB5E5" w14:textId="659F6B00" w:rsidR="00D345AD" w:rsidRPr="000829A4" w:rsidRDefault="00000000">
      <w:pPr>
        <w:spacing w:after="240"/>
        <w:rPr>
          <w:rFonts w:asciiTheme="majorHAnsi" w:hAnsiTheme="majorHAnsi" w:cstheme="majorHAnsi"/>
        </w:rPr>
      </w:pPr>
      <w:r w:rsidRPr="000829A4">
        <w:rPr>
          <w:rFonts w:asciiTheme="majorHAnsi" w:hAnsiTheme="majorHAnsi" w:cstheme="majorHAnsi"/>
        </w:rPr>
        <w:t>Working cohort: Indian consumers aged 18</w:t>
      </w:r>
      <w:r w:rsidR="00487DC5" w:rsidRPr="000829A4">
        <w:rPr>
          <w:rFonts w:asciiTheme="majorHAnsi" w:hAnsiTheme="majorHAnsi" w:cstheme="majorHAnsi"/>
        </w:rPr>
        <w:t xml:space="preserve"> - </w:t>
      </w:r>
      <w:r w:rsidRPr="000829A4">
        <w:rPr>
          <w:rFonts w:asciiTheme="majorHAnsi" w:hAnsiTheme="majorHAnsi" w:cstheme="majorHAnsi"/>
        </w:rPr>
        <w:t>27</w:t>
      </w:r>
      <w:r w:rsidRPr="000829A4">
        <w:rPr>
          <w:rFonts w:asciiTheme="majorHAnsi" w:hAnsiTheme="majorHAnsi" w:cstheme="majorHAnsi"/>
        </w:rPr>
        <w:br/>
        <w:t>Prepared: September 2026</w:t>
      </w:r>
      <w:r w:rsidRPr="000829A4">
        <w:rPr>
          <w:rFonts w:asciiTheme="majorHAnsi" w:hAnsiTheme="majorHAnsi" w:cstheme="majorHAnsi"/>
        </w:rPr>
        <w:br/>
        <w:t>Scope: Public-source desk research and illustrative financial modelling</w:t>
      </w:r>
    </w:p>
    <w:p w14:paraId="0C57CCCA" w14:textId="77777777" w:rsidR="00D345AD" w:rsidRPr="000829A4" w:rsidRDefault="00000000">
      <w:pPr>
        <w:pStyle w:val="SmallNote"/>
        <w:rPr>
          <w:rFonts w:asciiTheme="majorHAnsi" w:hAnsiTheme="majorHAnsi" w:cstheme="majorHAnsi"/>
        </w:rPr>
      </w:pPr>
      <w:r w:rsidRPr="000829A4">
        <w:rPr>
          <w:rFonts w:asciiTheme="majorHAnsi" w:hAnsiTheme="majorHAnsi" w:cstheme="majorHAnsi"/>
        </w:rPr>
        <w:t>This report is hypothetical and educational. It is not commissioned by, affiliated with, or endorsed by Nike. It uses no Nike internal data and does not represent an official Nike strategy or forecast.</w:t>
      </w:r>
    </w:p>
    <w:p w14:paraId="1F581682" w14:textId="77777777" w:rsidR="00D345AD" w:rsidRPr="000829A4" w:rsidRDefault="00000000">
      <w:pPr>
        <w:rPr>
          <w:rFonts w:asciiTheme="majorHAnsi" w:hAnsiTheme="majorHAnsi" w:cstheme="majorHAnsi"/>
        </w:rPr>
      </w:pPr>
      <w:r w:rsidRPr="000829A4">
        <w:rPr>
          <w:rFonts w:asciiTheme="majorHAnsi" w:hAnsiTheme="majorHAnsi" w:cstheme="majorHAnsi"/>
        </w:rPr>
        <w:br w:type="page"/>
      </w:r>
    </w:p>
    <w:p w14:paraId="11644AC0" w14:textId="77777777" w:rsidR="00D345AD" w:rsidRPr="000829A4" w:rsidRDefault="00000000">
      <w:pPr>
        <w:pStyle w:val="Heading1"/>
        <w:rPr>
          <w:rFonts w:cstheme="majorHAnsi"/>
        </w:rPr>
      </w:pPr>
      <w:r w:rsidRPr="000829A4">
        <w:rPr>
          <w:rFonts w:cstheme="majorHAnsi"/>
        </w:rPr>
        <w:lastRenderedPageBreak/>
        <w:t>Executive Summary</w:t>
      </w:r>
    </w:p>
    <w:p w14:paraId="4F947334" w14:textId="6195EE41" w:rsidR="00D345AD" w:rsidRPr="000829A4" w:rsidRDefault="00000000">
      <w:pPr>
        <w:rPr>
          <w:rFonts w:asciiTheme="majorHAnsi" w:hAnsiTheme="majorHAnsi" w:cstheme="majorHAnsi"/>
        </w:rPr>
      </w:pPr>
      <w:r w:rsidRPr="000829A4">
        <w:rPr>
          <w:rFonts w:asciiTheme="majorHAnsi" w:hAnsiTheme="majorHAnsi" w:cstheme="majorHAnsi"/>
        </w:rPr>
        <w:t>This report examines how Nike could strengthen consideration and profitable customer acquisition among Indian Gen Z consumers. The case focuses on a working cohort of ages 18</w:t>
      </w:r>
      <w:r w:rsidR="00487DC5" w:rsidRPr="000829A4">
        <w:rPr>
          <w:rFonts w:asciiTheme="majorHAnsi" w:hAnsiTheme="majorHAnsi" w:cstheme="majorHAnsi"/>
        </w:rPr>
        <w:t xml:space="preserve"> - </w:t>
      </w:r>
      <w:r w:rsidRPr="000829A4">
        <w:rPr>
          <w:rFonts w:asciiTheme="majorHAnsi" w:hAnsiTheme="majorHAnsi" w:cstheme="majorHAnsi"/>
        </w:rPr>
        <w:t>27 and frames growth as a connected journey: create relevant discovery, make product value easy to understand, and reduce friction between interest and purchase. The analysis is a desk-research case study</w:t>
      </w:r>
      <w:r w:rsidR="000829A4" w:rsidRPr="000829A4">
        <w:rPr>
          <w:rFonts w:asciiTheme="majorHAnsi" w:hAnsiTheme="majorHAnsi" w:cstheme="majorHAnsi"/>
        </w:rPr>
        <w:t>,</w:t>
      </w:r>
      <w:r w:rsidRPr="000829A4">
        <w:rPr>
          <w:rFonts w:asciiTheme="majorHAnsi" w:hAnsiTheme="majorHAnsi" w:cstheme="majorHAnsi"/>
        </w:rPr>
        <w:t xml:space="preserve"> consumer hypotheses have not been validated through primary research.</w:t>
      </w:r>
    </w:p>
    <w:tbl>
      <w:tblPr>
        <w:tblStyle w:val="TableGrid"/>
        <w:tblW w:w="0" w:type="auto"/>
        <w:tblLook w:val="04A0" w:firstRow="1" w:lastRow="0" w:firstColumn="1" w:lastColumn="0" w:noHBand="0" w:noVBand="1"/>
      </w:tblPr>
      <w:tblGrid>
        <w:gridCol w:w="9984"/>
      </w:tblGrid>
      <w:tr w:rsidR="00D345AD" w:rsidRPr="000829A4" w14:paraId="62F45C6C" w14:textId="77777777">
        <w:tc>
          <w:tcPr>
            <w:tcW w:w="9994" w:type="dxa"/>
            <w:shd w:val="clear" w:color="auto" w:fill="E2F0D9"/>
          </w:tcPr>
          <w:p w14:paraId="0D14685C" w14:textId="77777777" w:rsidR="00D345AD" w:rsidRPr="000829A4" w:rsidRDefault="00000000">
            <w:pPr>
              <w:keepLines/>
              <w:spacing w:after="40"/>
              <w:rPr>
                <w:rFonts w:asciiTheme="majorHAnsi" w:hAnsiTheme="majorHAnsi" w:cstheme="majorHAnsi"/>
              </w:rPr>
            </w:pPr>
            <w:r w:rsidRPr="000829A4">
              <w:rPr>
                <w:rFonts w:asciiTheme="majorHAnsi" w:hAnsiTheme="majorHAnsi" w:cstheme="majorHAnsi"/>
                <w:b/>
                <w:color w:val="17365D"/>
              </w:rPr>
              <w:t xml:space="preserve">Central strategic proposition  </w:t>
            </w:r>
            <w:r w:rsidRPr="000829A4">
              <w:rPr>
                <w:rFonts w:asciiTheme="majorHAnsi" w:hAnsiTheme="majorHAnsi" w:cstheme="majorHAnsi"/>
              </w:rPr>
              <w:t>Build youth relevance through local communities and creator-led storytelling, support it with clear product/use-case navigation and accessible entry points, then scale only the activities that demonstrate incremental contribution.</w:t>
            </w:r>
          </w:p>
        </w:tc>
      </w:tr>
    </w:tbl>
    <w:p w14:paraId="538A949E" w14:textId="77777777" w:rsidR="00D345AD" w:rsidRPr="000829A4" w:rsidRDefault="00D345AD">
      <w:pPr>
        <w:spacing w:after="20"/>
        <w:rPr>
          <w:rFonts w:asciiTheme="majorHAnsi" w:hAnsiTheme="majorHAnsi" w:cstheme="majorHAnsi"/>
        </w:rPr>
      </w:pPr>
    </w:p>
    <w:p w14:paraId="06745522" w14:textId="77777777" w:rsidR="00D345AD" w:rsidRPr="000829A4" w:rsidRDefault="00000000">
      <w:pPr>
        <w:pStyle w:val="Heading2"/>
        <w:rPr>
          <w:rFonts w:cstheme="majorHAnsi"/>
        </w:rPr>
      </w:pPr>
      <w:r w:rsidRPr="000829A4">
        <w:rPr>
          <w:rFonts w:cstheme="majorHAnsi"/>
        </w:rPr>
        <w:t>What the analysis indicates</w:t>
      </w:r>
    </w:p>
    <w:p w14:paraId="37F2A3C3"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India offers a material sportswear and athletic-footwear market context, but published market estimates use different category definitions and cannot be treated as Nike’s addressable market.</w:t>
      </w:r>
    </w:p>
    <w:p w14:paraId="72814255"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Nike competes across performance and sport-lifestyle spaces alongside global brands, value-led domestic footwear players, and category specialists. Consumer choice is likely to vary by use case, price, comfort, style, and access.</w:t>
      </w:r>
    </w:p>
    <w:p w14:paraId="63DAB68E" w14:textId="45C56210"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Potential barriers such as perceived price/value, local relevance, product discovery, and availability are research hypotheses</w:t>
      </w:r>
      <w:r w:rsidR="00487DC5" w:rsidRPr="000829A4">
        <w:rPr>
          <w:rFonts w:asciiTheme="majorHAnsi" w:hAnsiTheme="majorHAnsi" w:cstheme="majorHAnsi"/>
        </w:rPr>
        <w:t xml:space="preserve">, </w:t>
      </w:r>
      <w:r w:rsidRPr="000829A4">
        <w:rPr>
          <w:rFonts w:asciiTheme="majorHAnsi" w:hAnsiTheme="majorHAnsi" w:cstheme="majorHAnsi"/>
        </w:rPr>
        <w:t>not proven explanations for Nike’s performance among Indian Gen Z.</w:t>
      </w:r>
    </w:p>
    <w:p w14:paraId="589A5334"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A phased, measurable growth programme can test these hypotheses without assuming that reach or engagement automatically translates into profitable incremental sales.</w:t>
      </w:r>
    </w:p>
    <w:p w14:paraId="3376E821" w14:textId="77777777" w:rsidR="00D345AD" w:rsidRPr="000829A4" w:rsidRDefault="00000000">
      <w:pPr>
        <w:pStyle w:val="Heading2"/>
        <w:rPr>
          <w:rFonts w:cstheme="majorHAnsi"/>
        </w:rPr>
      </w:pPr>
      <w:r w:rsidRPr="000829A4">
        <w:rPr>
          <w:rFonts w:cstheme="majorHAnsi"/>
        </w:rPr>
        <w:t>Illustrative financial view</w:t>
      </w:r>
    </w:p>
    <w:tbl>
      <w:tblPr>
        <w:tblStyle w:val="TableGrid"/>
        <w:tblW w:w="0" w:type="auto"/>
        <w:jc w:val="center"/>
        <w:tblLook w:val="04A0" w:firstRow="1" w:lastRow="0" w:firstColumn="1" w:lastColumn="0" w:noHBand="0" w:noVBand="1"/>
      </w:tblPr>
      <w:tblGrid>
        <w:gridCol w:w="1296"/>
        <w:gridCol w:w="1152"/>
        <w:gridCol w:w="1584"/>
        <w:gridCol w:w="1440"/>
        <w:gridCol w:w="1440"/>
        <w:gridCol w:w="2592"/>
      </w:tblGrid>
      <w:tr w:rsidR="00D345AD" w:rsidRPr="000829A4" w14:paraId="2C429A9A" w14:textId="77777777">
        <w:trPr>
          <w:jc w:val="center"/>
        </w:trPr>
        <w:tc>
          <w:tcPr>
            <w:tcW w:w="1296" w:type="dxa"/>
            <w:shd w:val="clear" w:color="auto" w:fill="17365D"/>
            <w:vAlign w:val="center"/>
          </w:tcPr>
          <w:p w14:paraId="73B4059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Scenario</w:t>
            </w:r>
          </w:p>
        </w:tc>
        <w:tc>
          <w:tcPr>
            <w:tcW w:w="1152" w:type="dxa"/>
            <w:shd w:val="clear" w:color="auto" w:fill="17365D"/>
            <w:vAlign w:val="center"/>
          </w:tcPr>
          <w:p w14:paraId="5C47564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First orders</w:t>
            </w:r>
          </w:p>
        </w:tc>
        <w:tc>
          <w:tcPr>
            <w:tcW w:w="1584" w:type="dxa"/>
            <w:shd w:val="clear" w:color="auto" w:fill="17365D"/>
            <w:vAlign w:val="center"/>
          </w:tcPr>
          <w:p w14:paraId="37C50B1A"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Total orders incl. repeat</w:t>
            </w:r>
          </w:p>
        </w:tc>
        <w:tc>
          <w:tcPr>
            <w:tcW w:w="1440" w:type="dxa"/>
            <w:shd w:val="clear" w:color="auto" w:fill="17365D"/>
            <w:vAlign w:val="center"/>
          </w:tcPr>
          <w:p w14:paraId="1D47B83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Revenue</w:t>
            </w:r>
          </w:p>
        </w:tc>
        <w:tc>
          <w:tcPr>
            <w:tcW w:w="1440" w:type="dxa"/>
            <w:shd w:val="clear" w:color="auto" w:fill="17365D"/>
            <w:vAlign w:val="center"/>
          </w:tcPr>
          <w:p w14:paraId="6372F2AA"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Contribution</w:t>
            </w:r>
          </w:p>
        </w:tc>
        <w:tc>
          <w:tcPr>
            <w:tcW w:w="2592" w:type="dxa"/>
            <w:shd w:val="clear" w:color="auto" w:fill="17365D"/>
            <w:vAlign w:val="center"/>
          </w:tcPr>
          <w:p w14:paraId="4BD4580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Net contribution after ₹1 Cr campaign</w:t>
            </w:r>
          </w:p>
        </w:tc>
      </w:tr>
      <w:tr w:rsidR="00D345AD" w:rsidRPr="000829A4" w14:paraId="3BCE3806" w14:textId="77777777">
        <w:trPr>
          <w:jc w:val="center"/>
        </w:trPr>
        <w:tc>
          <w:tcPr>
            <w:tcW w:w="1296" w:type="dxa"/>
            <w:vAlign w:val="center"/>
          </w:tcPr>
          <w:p w14:paraId="1231E26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Downside</w:t>
            </w:r>
          </w:p>
        </w:tc>
        <w:tc>
          <w:tcPr>
            <w:tcW w:w="1152" w:type="dxa"/>
            <w:vAlign w:val="center"/>
          </w:tcPr>
          <w:p w14:paraId="1EC78F2B"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480</w:t>
            </w:r>
          </w:p>
        </w:tc>
        <w:tc>
          <w:tcPr>
            <w:tcW w:w="1584" w:type="dxa"/>
            <w:vAlign w:val="center"/>
          </w:tcPr>
          <w:p w14:paraId="68CC20D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504</w:t>
            </w:r>
          </w:p>
        </w:tc>
        <w:tc>
          <w:tcPr>
            <w:tcW w:w="1440" w:type="dxa"/>
            <w:vAlign w:val="center"/>
          </w:tcPr>
          <w:p w14:paraId="7A15999F"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₹27.72 lakh</w:t>
            </w:r>
          </w:p>
        </w:tc>
        <w:tc>
          <w:tcPr>
            <w:tcW w:w="1440" w:type="dxa"/>
            <w:vAlign w:val="center"/>
          </w:tcPr>
          <w:p w14:paraId="29B352B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₹9.42 lakh</w:t>
            </w:r>
          </w:p>
        </w:tc>
        <w:tc>
          <w:tcPr>
            <w:tcW w:w="2592" w:type="dxa"/>
            <w:vAlign w:val="center"/>
          </w:tcPr>
          <w:p w14:paraId="5F78E3F6" w14:textId="0D8AF852" w:rsidR="00D345AD" w:rsidRPr="000829A4" w:rsidRDefault="00487DC5">
            <w:pPr>
              <w:keepLines/>
              <w:spacing w:before="20" w:after="20"/>
              <w:rPr>
                <w:rFonts w:asciiTheme="majorHAnsi" w:hAnsiTheme="majorHAnsi" w:cstheme="majorHAnsi"/>
              </w:rPr>
            </w:pPr>
            <w:r w:rsidRPr="000829A4">
              <w:rPr>
                <w:rFonts w:asciiTheme="majorHAnsi" w:hAnsiTheme="majorHAnsi" w:cstheme="majorHAnsi"/>
                <w:sz w:val="16"/>
              </w:rPr>
              <w:t xml:space="preserve"> - </w:t>
            </w:r>
            <w:r w:rsidR="00000000" w:rsidRPr="000829A4">
              <w:rPr>
                <w:rFonts w:asciiTheme="majorHAnsi" w:hAnsiTheme="majorHAnsi" w:cstheme="majorHAnsi"/>
                <w:sz w:val="16"/>
              </w:rPr>
              <w:t>₹90.58 lakh</w:t>
            </w:r>
          </w:p>
        </w:tc>
      </w:tr>
      <w:tr w:rsidR="00D345AD" w:rsidRPr="000829A4" w14:paraId="65EE1FE1" w14:textId="77777777">
        <w:trPr>
          <w:jc w:val="center"/>
        </w:trPr>
        <w:tc>
          <w:tcPr>
            <w:tcW w:w="1296" w:type="dxa"/>
            <w:shd w:val="clear" w:color="auto" w:fill="F3F6F9"/>
            <w:vAlign w:val="center"/>
          </w:tcPr>
          <w:p w14:paraId="714807FB"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Base</w:t>
            </w:r>
          </w:p>
        </w:tc>
        <w:tc>
          <w:tcPr>
            <w:tcW w:w="1152" w:type="dxa"/>
            <w:shd w:val="clear" w:color="auto" w:fill="F3F6F9"/>
            <w:vAlign w:val="center"/>
          </w:tcPr>
          <w:p w14:paraId="7367252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2,880</w:t>
            </w:r>
          </w:p>
        </w:tc>
        <w:tc>
          <w:tcPr>
            <w:tcW w:w="1584" w:type="dxa"/>
            <w:shd w:val="clear" w:color="auto" w:fill="F3F6F9"/>
            <w:vAlign w:val="center"/>
          </w:tcPr>
          <w:p w14:paraId="5709953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3,168</w:t>
            </w:r>
          </w:p>
        </w:tc>
        <w:tc>
          <w:tcPr>
            <w:tcW w:w="1440" w:type="dxa"/>
            <w:shd w:val="clear" w:color="auto" w:fill="F3F6F9"/>
            <w:vAlign w:val="center"/>
          </w:tcPr>
          <w:p w14:paraId="25AD906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₹2.06 crore</w:t>
            </w:r>
          </w:p>
        </w:tc>
        <w:tc>
          <w:tcPr>
            <w:tcW w:w="1440" w:type="dxa"/>
            <w:shd w:val="clear" w:color="auto" w:fill="F3F6F9"/>
            <w:vAlign w:val="center"/>
          </w:tcPr>
          <w:p w14:paraId="0E88C4B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₹70.01 lakh</w:t>
            </w:r>
          </w:p>
        </w:tc>
        <w:tc>
          <w:tcPr>
            <w:tcW w:w="2592" w:type="dxa"/>
            <w:shd w:val="clear" w:color="auto" w:fill="F3F6F9"/>
            <w:vAlign w:val="center"/>
          </w:tcPr>
          <w:p w14:paraId="2FEE598C" w14:textId="6AA5F21E" w:rsidR="00D345AD" w:rsidRPr="000829A4" w:rsidRDefault="00487DC5">
            <w:pPr>
              <w:keepLines/>
              <w:spacing w:before="20" w:after="20"/>
              <w:rPr>
                <w:rFonts w:asciiTheme="majorHAnsi" w:hAnsiTheme="majorHAnsi" w:cstheme="majorHAnsi"/>
              </w:rPr>
            </w:pPr>
            <w:r w:rsidRPr="000829A4">
              <w:rPr>
                <w:rFonts w:asciiTheme="majorHAnsi" w:hAnsiTheme="majorHAnsi" w:cstheme="majorHAnsi"/>
                <w:sz w:val="16"/>
              </w:rPr>
              <w:t xml:space="preserve"> - </w:t>
            </w:r>
            <w:r w:rsidR="00000000" w:rsidRPr="000829A4">
              <w:rPr>
                <w:rFonts w:asciiTheme="majorHAnsi" w:hAnsiTheme="majorHAnsi" w:cstheme="majorHAnsi"/>
                <w:sz w:val="16"/>
              </w:rPr>
              <w:t>₹29.99 lakh</w:t>
            </w:r>
          </w:p>
        </w:tc>
      </w:tr>
      <w:tr w:rsidR="00D345AD" w:rsidRPr="000829A4" w14:paraId="3AA0DBAF" w14:textId="77777777">
        <w:trPr>
          <w:jc w:val="center"/>
        </w:trPr>
        <w:tc>
          <w:tcPr>
            <w:tcW w:w="1296" w:type="dxa"/>
            <w:vAlign w:val="center"/>
          </w:tcPr>
          <w:p w14:paraId="7B49FAA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Upside</w:t>
            </w:r>
          </w:p>
        </w:tc>
        <w:tc>
          <w:tcPr>
            <w:tcW w:w="1152" w:type="dxa"/>
            <w:vAlign w:val="center"/>
          </w:tcPr>
          <w:p w14:paraId="602141B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7,088</w:t>
            </w:r>
          </w:p>
        </w:tc>
        <w:tc>
          <w:tcPr>
            <w:tcW w:w="1584" w:type="dxa"/>
            <w:vAlign w:val="center"/>
          </w:tcPr>
          <w:p w14:paraId="76E3D9A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8,151</w:t>
            </w:r>
          </w:p>
        </w:tc>
        <w:tc>
          <w:tcPr>
            <w:tcW w:w="1440" w:type="dxa"/>
            <w:vAlign w:val="center"/>
          </w:tcPr>
          <w:p w14:paraId="1E22E93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₹5.71 crore</w:t>
            </w:r>
          </w:p>
        </w:tc>
        <w:tc>
          <w:tcPr>
            <w:tcW w:w="1440" w:type="dxa"/>
            <w:vAlign w:val="center"/>
          </w:tcPr>
          <w:p w14:paraId="3C5A9AE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₹1.94 crore</w:t>
            </w:r>
          </w:p>
        </w:tc>
        <w:tc>
          <w:tcPr>
            <w:tcW w:w="2592" w:type="dxa"/>
            <w:vAlign w:val="center"/>
          </w:tcPr>
          <w:p w14:paraId="7AF596A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+₹93.98 lakh</w:t>
            </w:r>
          </w:p>
        </w:tc>
      </w:tr>
    </w:tbl>
    <w:p w14:paraId="481894C7" w14:textId="77777777" w:rsidR="00D345AD" w:rsidRPr="000829A4" w:rsidRDefault="00D345AD">
      <w:pPr>
        <w:spacing w:after="20"/>
        <w:rPr>
          <w:rFonts w:asciiTheme="majorHAnsi" w:hAnsiTheme="majorHAnsi" w:cstheme="majorHAnsi"/>
        </w:rPr>
      </w:pPr>
    </w:p>
    <w:p w14:paraId="721065B7" w14:textId="1E559E9B" w:rsidR="00D345AD" w:rsidRPr="000829A4" w:rsidRDefault="00000000">
      <w:pPr>
        <w:pStyle w:val="SmallNote"/>
        <w:rPr>
          <w:rFonts w:asciiTheme="majorHAnsi" w:hAnsiTheme="majorHAnsi" w:cstheme="majorHAnsi"/>
        </w:rPr>
      </w:pPr>
      <w:r w:rsidRPr="000829A4">
        <w:rPr>
          <w:rFonts w:asciiTheme="majorHAnsi" w:hAnsiTheme="majorHAnsi" w:cstheme="majorHAnsi"/>
        </w:rPr>
        <w:t xml:space="preserve">Rounded figures. Contribution is revenue after assumed product gross margin and incremental variable </w:t>
      </w:r>
      <w:r w:rsidR="000829A4" w:rsidRPr="000829A4">
        <w:rPr>
          <w:rFonts w:asciiTheme="majorHAnsi" w:hAnsiTheme="majorHAnsi" w:cstheme="majorHAnsi"/>
        </w:rPr>
        <w:t>costs;</w:t>
      </w:r>
      <w:r w:rsidRPr="000829A4">
        <w:rPr>
          <w:rFonts w:asciiTheme="majorHAnsi" w:hAnsiTheme="majorHAnsi" w:cstheme="majorHAnsi"/>
        </w:rPr>
        <w:t xml:space="preserve"> net contribution subtracts the campaign budget. These are scenario outputs from illustrative assumptions, not Nike actuals, forecasts, or net profit.</w:t>
      </w:r>
    </w:p>
    <w:p w14:paraId="7A1B0BFF" w14:textId="77777777" w:rsidR="00D345AD" w:rsidRPr="000829A4" w:rsidRDefault="00000000">
      <w:pPr>
        <w:pStyle w:val="Heading2"/>
        <w:rPr>
          <w:rFonts w:cstheme="majorHAnsi"/>
        </w:rPr>
      </w:pPr>
      <w:r w:rsidRPr="000829A4">
        <w:rPr>
          <w:rFonts w:cstheme="majorHAnsi"/>
        </w:rPr>
        <w:t>Recommended management approach</w:t>
      </w:r>
    </w:p>
    <w:p w14:paraId="7AA832D7" w14:textId="77777777"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Validate consumer and category hypotheses before committing to broad-scale investment.</w:t>
      </w:r>
    </w:p>
    <w:p w14:paraId="21B35007" w14:textId="77777777"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Pilot a small number of city, campus, fitness-community, and digital activation combinations with consistent measurement.</w:t>
      </w:r>
    </w:p>
    <w:p w14:paraId="7711E200" w14:textId="77777777"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Use a contribution-based stage gate to decide whether to refine, expand, or stop each activity.</w:t>
      </w:r>
    </w:p>
    <w:p w14:paraId="04180274" w14:textId="77777777"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Scale only where the evidence indicates incremental orders, acceptable acquisition economics, and a credible path to repeat purchase.</w:t>
      </w:r>
    </w:p>
    <w:p w14:paraId="2822D7B6" w14:textId="77777777" w:rsidR="00D345AD" w:rsidRPr="000829A4" w:rsidRDefault="00000000">
      <w:pPr>
        <w:pStyle w:val="Heading1"/>
        <w:rPr>
          <w:rFonts w:cstheme="majorHAnsi"/>
        </w:rPr>
      </w:pPr>
      <w:r w:rsidRPr="000829A4">
        <w:rPr>
          <w:rFonts w:cstheme="majorHAnsi"/>
        </w:rPr>
        <w:t>1. Business Context &amp; Problem Definition</w:t>
      </w:r>
    </w:p>
    <w:p w14:paraId="5BBA241A" w14:textId="77777777" w:rsidR="00D345AD" w:rsidRPr="000829A4" w:rsidRDefault="00000000">
      <w:pPr>
        <w:pStyle w:val="Heading2"/>
        <w:rPr>
          <w:rFonts w:cstheme="majorHAnsi"/>
        </w:rPr>
      </w:pPr>
      <w:r w:rsidRPr="000829A4">
        <w:rPr>
          <w:rFonts w:cstheme="majorHAnsi"/>
        </w:rPr>
        <w:t>1.1 Business question</w:t>
      </w:r>
    </w:p>
    <w:p w14:paraId="0F07E220" w14:textId="52D40ED0" w:rsidR="00D345AD" w:rsidRPr="000829A4" w:rsidRDefault="00000000">
      <w:pPr>
        <w:rPr>
          <w:rFonts w:asciiTheme="majorHAnsi" w:hAnsiTheme="majorHAnsi" w:cstheme="majorHAnsi"/>
        </w:rPr>
      </w:pPr>
      <w:r w:rsidRPr="000829A4">
        <w:rPr>
          <w:rFonts w:asciiTheme="majorHAnsi" w:hAnsiTheme="majorHAnsi" w:cstheme="majorHAnsi"/>
        </w:rPr>
        <w:t>How might Nike strengthen its relevance and profitable growth among Indian Gen Z consumers aged 18</w:t>
      </w:r>
      <w:r w:rsidR="00487DC5" w:rsidRPr="000829A4">
        <w:rPr>
          <w:rFonts w:asciiTheme="majorHAnsi" w:hAnsiTheme="majorHAnsi" w:cstheme="majorHAnsi"/>
        </w:rPr>
        <w:t xml:space="preserve"> - </w:t>
      </w:r>
      <w:r w:rsidRPr="000829A4">
        <w:rPr>
          <w:rFonts w:asciiTheme="majorHAnsi" w:hAnsiTheme="majorHAnsi" w:cstheme="majorHAnsi"/>
        </w:rPr>
        <w:t>27 through a differentiated, measurable market-expansion strategy?</w:t>
      </w:r>
    </w:p>
    <w:p w14:paraId="3C7A8F96" w14:textId="77777777" w:rsidR="00D345AD" w:rsidRPr="000829A4" w:rsidRDefault="00000000">
      <w:pPr>
        <w:pStyle w:val="Heading2"/>
        <w:rPr>
          <w:rFonts w:cstheme="majorHAnsi"/>
        </w:rPr>
      </w:pPr>
      <w:r w:rsidRPr="000829A4">
        <w:rPr>
          <w:rFonts w:cstheme="majorHAnsi"/>
        </w:rPr>
        <w:t>1.2 Case objective</w:t>
      </w:r>
    </w:p>
    <w:p w14:paraId="44E33C8B" w14:textId="62AC0E4A" w:rsidR="00D345AD" w:rsidRPr="000829A4" w:rsidRDefault="00000000">
      <w:pPr>
        <w:rPr>
          <w:rFonts w:asciiTheme="majorHAnsi" w:hAnsiTheme="majorHAnsi" w:cstheme="majorHAnsi"/>
        </w:rPr>
      </w:pPr>
      <w:r w:rsidRPr="000829A4">
        <w:rPr>
          <w:rFonts w:asciiTheme="majorHAnsi" w:hAnsiTheme="majorHAnsi" w:cstheme="majorHAnsi"/>
        </w:rPr>
        <w:t xml:space="preserve">Develop a practical growth strategy that links consumer needs and competitive context to market activation, purchase conversion, and financial discipline. The objective is not to assert an official Nike problem or diagnose actual Nike </w:t>
      </w:r>
      <w:r w:rsidR="000829A4" w:rsidRPr="000829A4">
        <w:rPr>
          <w:rFonts w:asciiTheme="majorHAnsi" w:hAnsiTheme="majorHAnsi" w:cstheme="majorHAnsi"/>
        </w:rPr>
        <w:t>performance;</w:t>
      </w:r>
      <w:r w:rsidRPr="000829A4">
        <w:rPr>
          <w:rFonts w:asciiTheme="majorHAnsi" w:hAnsiTheme="majorHAnsi" w:cstheme="majorHAnsi"/>
        </w:rPr>
        <w:t xml:space="preserve"> it is to construct a decision-ready hypothetical case.</w:t>
      </w:r>
    </w:p>
    <w:p w14:paraId="5C966C2C" w14:textId="77777777" w:rsidR="00D345AD" w:rsidRPr="000829A4" w:rsidRDefault="00000000">
      <w:pPr>
        <w:pStyle w:val="Heading2"/>
        <w:rPr>
          <w:rFonts w:cstheme="majorHAnsi"/>
        </w:rPr>
      </w:pPr>
      <w:r w:rsidRPr="000829A4">
        <w:rPr>
          <w:rFonts w:cstheme="majorHAnsi"/>
        </w:rPr>
        <w:lastRenderedPageBreak/>
        <w:t>1.3 Scope</w:t>
      </w:r>
    </w:p>
    <w:tbl>
      <w:tblPr>
        <w:tblStyle w:val="TableGrid"/>
        <w:tblW w:w="0" w:type="auto"/>
        <w:jc w:val="center"/>
        <w:tblLook w:val="04A0" w:firstRow="1" w:lastRow="0" w:firstColumn="1" w:lastColumn="0" w:noHBand="0" w:noVBand="1"/>
      </w:tblPr>
      <w:tblGrid>
        <w:gridCol w:w="4752"/>
        <w:gridCol w:w="4752"/>
      </w:tblGrid>
      <w:tr w:rsidR="00D345AD" w:rsidRPr="000829A4" w14:paraId="223B98F6" w14:textId="77777777">
        <w:trPr>
          <w:jc w:val="center"/>
        </w:trPr>
        <w:tc>
          <w:tcPr>
            <w:tcW w:w="4752" w:type="dxa"/>
            <w:shd w:val="clear" w:color="auto" w:fill="17365D"/>
            <w:vAlign w:val="center"/>
          </w:tcPr>
          <w:p w14:paraId="11C0BF5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Included</w:t>
            </w:r>
          </w:p>
        </w:tc>
        <w:tc>
          <w:tcPr>
            <w:tcW w:w="4752" w:type="dxa"/>
            <w:shd w:val="clear" w:color="auto" w:fill="17365D"/>
            <w:vAlign w:val="center"/>
          </w:tcPr>
          <w:p w14:paraId="2A79EB1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Not included</w:t>
            </w:r>
          </w:p>
        </w:tc>
      </w:tr>
      <w:tr w:rsidR="00D345AD" w:rsidRPr="000829A4" w14:paraId="3246FD74" w14:textId="77777777">
        <w:trPr>
          <w:jc w:val="center"/>
        </w:trPr>
        <w:tc>
          <w:tcPr>
            <w:tcW w:w="4752" w:type="dxa"/>
            <w:vAlign w:val="center"/>
          </w:tcPr>
          <w:p w14:paraId="6367C82B" w14:textId="6E219966"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India-focused sportswear, athletic-footwear and activewear context</w:t>
            </w:r>
            <w:r w:rsidR="000829A4" w:rsidRPr="000829A4">
              <w:rPr>
                <w:rFonts w:asciiTheme="majorHAnsi" w:hAnsiTheme="majorHAnsi" w:cstheme="majorHAnsi"/>
                <w:sz w:val="16"/>
              </w:rPr>
              <w:t>,</w:t>
            </w:r>
            <w:r w:rsidRPr="000829A4">
              <w:rPr>
                <w:rFonts w:asciiTheme="majorHAnsi" w:hAnsiTheme="majorHAnsi" w:cstheme="majorHAnsi"/>
                <w:sz w:val="16"/>
              </w:rPr>
              <w:t xml:space="preserve"> selected competitor positioning</w:t>
            </w:r>
            <w:r w:rsidR="000829A4" w:rsidRPr="000829A4">
              <w:rPr>
                <w:rFonts w:asciiTheme="majorHAnsi" w:hAnsiTheme="majorHAnsi" w:cstheme="majorHAnsi"/>
                <w:sz w:val="16"/>
              </w:rPr>
              <w:t>,</w:t>
            </w:r>
            <w:r w:rsidRPr="000829A4">
              <w:rPr>
                <w:rFonts w:asciiTheme="majorHAnsi" w:hAnsiTheme="majorHAnsi" w:cstheme="majorHAnsi"/>
                <w:sz w:val="16"/>
              </w:rPr>
              <w:t xml:space="preserve"> working Gen Z segments</w:t>
            </w:r>
            <w:r w:rsidR="000829A4" w:rsidRPr="000829A4">
              <w:rPr>
                <w:rFonts w:asciiTheme="majorHAnsi" w:hAnsiTheme="majorHAnsi" w:cstheme="majorHAnsi"/>
                <w:sz w:val="16"/>
              </w:rPr>
              <w:t>,</w:t>
            </w:r>
            <w:r w:rsidRPr="000829A4">
              <w:rPr>
                <w:rFonts w:asciiTheme="majorHAnsi" w:hAnsiTheme="majorHAnsi" w:cstheme="majorHAnsi"/>
                <w:sz w:val="16"/>
              </w:rPr>
              <w:t xml:space="preserve"> go-to-market options</w:t>
            </w:r>
            <w:r w:rsidR="000829A4" w:rsidRPr="000829A4">
              <w:rPr>
                <w:rFonts w:asciiTheme="majorHAnsi" w:hAnsiTheme="majorHAnsi" w:cstheme="majorHAnsi"/>
                <w:sz w:val="16"/>
              </w:rPr>
              <w:t>,</w:t>
            </w:r>
            <w:r w:rsidRPr="000829A4">
              <w:rPr>
                <w:rFonts w:asciiTheme="majorHAnsi" w:hAnsiTheme="majorHAnsi" w:cstheme="majorHAnsi"/>
                <w:sz w:val="16"/>
              </w:rPr>
              <w:t xml:space="preserve"> illustrative economics and implementation roadmap.</w:t>
            </w:r>
          </w:p>
        </w:tc>
        <w:tc>
          <w:tcPr>
            <w:tcW w:w="4752" w:type="dxa"/>
            <w:vAlign w:val="center"/>
          </w:tcPr>
          <w:p w14:paraId="1F76F94F" w14:textId="13BA650A"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Nike internal sales, margin, media, customer or channel data</w:t>
            </w:r>
            <w:r w:rsidR="000829A4" w:rsidRPr="000829A4">
              <w:rPr>
                <w:rFonts w:asciiTheme="majorHAnsi" w:hAnsiTheme="majorHAnsi" w:cstheme="majorHAnsi"/>
                <w:sz w:val="16"/>
              </w:rPr>
              <w:t>,</w:t>
            </w:r>
            <w:r w:rsidRPr="000829A4">
              <w:rPr>
                <w:rFonts w:asciiTheme="majorHAnsi" w:hAnsiTheme="majorHAnsi" w:cstheme="majorHAnsi"/>
                <w:sz w:val="16"/>
              </w:rPr>
              <w:t xml:space="preserve"> verified Gen Z preference estimates</w:t>
            </w:r>
            <w:r w:rsidR="000829A4" w:rsidRPr="000829A4">
              <w:rPr>
                <w:rFonts w:asciiTheme="majorHAnsi" w:hAnsiTheme="majorHAnsi" w:cstheme="majorHAnsi"/>
                <w:sz w:val="16"/>
              </w:rPr>
              <w:t>,</w:t>
            </w:r>
            <w:r w:rsidRPr="000829A4">
              <w:rPr>
                <w:rFonts w:asciiTheme="majorHAnsi" w:hAnsiTheme="majorHAnsi" w:cstheme="majorHAnsi"/>
                <w:sz w:val="16"/>
              </w:rPr>
              <w:t xml:space="preserve"> live competitor inventory audit</w:t>
            </w:r>
            <w:r w:rsidR="000829A4" w:rsidRPr="000829A4">
              <w:rPr>
                <w:rFonts w:asciiTheme="majorHAnsi" w:hAnsiTheme="majorHAnsi" w:cstheme="majorHAnsi"/>
                <w:sz w:val="16"/>
              </w:rPr>
              <w:t>,</w:t>
            </w:r>
            <w:r w:rsidRPr="000829A4">
              <w:rPr>
                <w:rFonts w:asciiTheme="majorHAnsi" w:hAnsiTheme="majorHAnsi" w:cstheme="majorHAnsi"/>
                <w:sz w:val="16"/>
              </w:rPr>
              <w:t xml:space="preserve"> operational feasibility confirmation</w:t>
            </w:r>
            <w:r w:rsidR="000829A4" w:rsidRPr="000829A4">
              <w:rPr>
                <w:rFonts w:asciiTheme="majorHAnsi" w:hAnsiTheme="majorHAnsi" w:cstheme="majorHAnsi"/>
                <w:sz w:val="16"/>
              </w:rPr>
              <w:t>,</w:t>
            </w:r>
            <w:r w:rsidRPr="000829A4">
              <w:rPr>
                <w:rFonts w:asciiTheme="majorHAnsi" w:hAnsiTheme="majorHAnsi" w:cstheme="majorHAnsi"/>
                <w:sz w:val="16"/>
              </w:rPr>
              <w:t xml:space="preserve"> official Nike strategic intent.</w:t>
            </w:r>
          </w:p>
        </w:tc>
      </w:tr>
    </w:tbl>
    <w:p w14:paraId="687615FE" w14:textId="77777777" w:rsidR="00D345AD" w:rsidRPr="000829A4" w:rsidRDefault="00D345AD">
      <w:pPr>
        <w:spacing w:after="20"/>
        <w:rPr>
          <w:rFonts w:asciiTheme="majorHAnsi" w:hAnsiTheme="majorHAnsi" w:cstheme="majorHAnsi"/>
        </w:rPr>
      </w:pPr>
    </w:p>
    <w:p w14:paraId="15369CB9" w14:textId="77777777" w:rsidR="00D345AD" w:rsidRPr="000829A4" w:rsidRDefault="00000000">
      <w:pPr>
        <w:pStyle w:val="Heading2"/>
        <w:rPr>
          <w:rFonts w:cstheme="majorHAnsi"/>
        </w:rPr>
      </w:pPr>
      <w:r w:rsidRPr="000829A4">
        <w:rPr>
          <w:rFonts w:cstheme="majorHAnsi"/>
        </w:rPr>
        <w:t>1.4 Working hypotheses to test</w:t>
      </w:r>
    </w:p>
    <w:tbl>
      <w:tblPr>
        <w:tblStyle w:val="TableGrid"/>
        <w:tblW w:w="0" w:type="auto"/>
        <w:jc w:val="center"/>
        <w:tblLook w:val="04A0" w:firstRow="1" w:lastRow="0" w:firstColumn="1" w:lastColumn="0" w:noHBand="0" w:noVBand="1"/>
      </w:tblPr>
      <w:tblGrid>
        <w:gridCol w:w="2376"/>
        <w:gridCol w:w="3384"/>
        <w:gridCol w:w="3816"/>
      </w:tblGrid>
      <w:tr w:rsidR="00D345AD" w:rsidRPr="000829A4" w14:paraId="239A4017" w14:textId="77777777">
        <w:trPr>
          <w:jc w:val="center"/>
        </w:trPr>
        <w:tc>
          <w:tcPr>
            <w:tcW w:w="2376" w:type="dxa"/>
            <w:shd w:val="clear" w:color="auto" w:fill="17365D"/>
            <w:vAlign w:val="center"/>
          </w:tcPr>
          <w:p w14:paraId="6B272AD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Hypothesis</w:t>
            </w:r>
          </w:p>
        </w:tc>
        <w:tc>
          <w:tcPr>
            <w:tcW w:w="3384" w:type="dxa"/>
            <w:shd w:val="clear" w:color="auto" w:fill="17365D"/>
            <w:vAlign w:val="center"/>
          </w:tcPr>
          <w:p w14:paraId="58A263F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Why it matters</w:t>
            </w:r>
          </w:p>
        </w:tc>
        <w:tc>
          <w:tcPr>
            <w:tcW w:w="3816" w:type="dxa"/>
            <w:shd w:val="clear" w:color="auto" w:fill="17365D"/>
            <w:vAlign w:val="center"/>
          </w:tcPr>
          <w:p w14:paraId="68E13AD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Evidence needed</w:t>
            </w:r>
          </w:p>
        </w:tc>
      </w:tr>
      <w:tr w:rsidR="00D345AD" w:rsidRPr="000829A4" w14:paraId="0814AC3B" w14:textId="77777777">
        <w:trPr>
          <w:jc w:val="center"/>
        </w:trPr>
        <w:tc>
          <w:tcPr>
            <w:tcW w:w="2376" w:type="dxa"/>
            <w:vAlign w:val="center"/>
          </w:tcPr>
          <w:p w14:paraId="6F9975D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Price/value may affect consideration</w:t>
            </w:r>
          </w:p>
        </w:tc>
        <w:tc>
          <w:tcPr>
            <w:tcW w:w="3384" w:type="dxa"/>
            <w:vAlign w:val="center"/>
          </w:tcPr>
          <w:p w14:paraId="6D4B925F"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The relationship between perceived value and willingness to pay could shape entry-product consideration.</w:t>
            </w:r>
          </w:p>
        </w:tc>
        <w:tc>
          <w:tcPr>
            <w:tcW w:w="3816" w:type="dxa"/>
            <w:vAlign w:val="center"/>
          </w:tcPr>
          <w:p w14:paraId="073B46B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Price ladder tests, survey willingness-to-pay, SKU-level comparisons.</w:t>
            </w:r>
          </w:p>
        </w:tc>
      </w:tr>
      <w:tr w:rsidR="00D345AD" w:rsidRPr="000829A4" w14:paraId="252DA7CB" w14:textId="77777777">
        <w:trPr>
          <w:jc w:val="center"/>
        </w:trPr>
        <w:tc>
          <w:tcPr>
            <w:tcW w:w="2376" w:type="dxa"/>
            <w:shd w:val="clear" w:color="auto" w:fill="F3F6F9"/>
            <w:vAlign w:val="center"/>
          </w:tcPr>
          <w:p w14:paraId="1C200D6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Lifestyle relevance may influence preference</w:t>
            </w:r>
          </w:p>
        </w:tc>
        <w:tc>
          <w:tcPr>
            <w:tcW w:w="3384" w:type="dxa"/>
            <w:shd w:val="clear" w:color="auto" w:fill="F3F6F9"/>
            <w:vAlign w:val="center"/>
          </w:tcPr>
          <w:p w14:paraId="14AFFF1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Consumers may connect footwear and apparel to identity, fashion, sport, and social context.</w:t>
            </w:r>
          </w:p>
        </w:tc>
        <w:tc>
          <w:tcPr>
            <w:tcW w:w="3816" w:type="dxa"/>
            <w:shd w:val="clear" w:color="auto" w:fill="F3F6F9"/>
            <w:vAlign w:val="center"/>
          </w:tcPr>
          <w:p w14:paraId="3ED8FB4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Use-case interviews, concept testing, brand consideration by occasion.</w:t>
            </w:r>
          </w:p>
        </w:tc>
      </w:tr>
      <w:tr w:rsidR="00D345AD" w:rsidRPr="000829A4" w14:paraId="528669D4" w14:textId="77777777">
        <w:trPr>
          <w:jc w:val="center"/>
        </w:trPr>
        <w:tc>
          <w:tcPr>
            <w:tcW w:w="2376" w:type="dxa"/>
            <w:vAlign w:val="center"/>
          </w:tcPr>
          <w:p w14:paraId="638AE30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Creators and communities may support discovery</w:t>
            </w:r>
          </w:p>
        </w:tc>
        <w:tc>
          <w:tcPr>
            <w:tcW w:w="3384" w:type="dxa"/>
            <w:vAlign w:val="center"/>
          </w:tcPr>
          <w:p w14:paraId="6234339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Trusted local voices and participation may help brands enter relevant conversations.</w:t>
            </w:r>
          </w:p>
        </w:tc>
        <w:tc>
          <w:tcPr>
            <w:tcW w:w="3816" w:type="dxa"/>
            <w:vAlign w:val="center"/>
          </w:tcPr>
          <w:p w14:paraId="07AB527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Source-of-discovery survey, test/control campaign performance.</w:t>
            </w:r>
          </w:p>
        </w:tc>
      </w:tr>
      <w:tr w:rsidR="00D345AD" w:rsidRPr="000829A4" w14:paraId="237EF0A2" w14:textId="77777777">
        <w:trPr>
          <w:jc w:val="center"/>
        </w:trPr>
        <w:tc>
          <w:tcPr>
            <w:tcW w:w="2376" w:type="dxa"/>
            <w:shd w:val="clear" w:color="auto" w:fill="F3F6F9"/>
            <w:vAlign w:val="center"/>
          </w:tcPr>
          <w:p w14:paraId="0996CD6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Discovery and availability may affect conversion</w:t>
            </w:r>
          </w:p>
        </w:tc>
        <w:tc>
          <w:tcPr>
            <w:tcW w:w="3384" w:type="dxa"/>
            <w:shd w:val="clear" w:color="auto" w:fill="F3F6F9"/>
            <w:vAlign w:val="center"/>
          </w:tcPr>
          <w:p w14:paraId="795189C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Unclear product choice or friction in finding a suitable item may interrupt purchase.</w:t>
            </w:r>
          </w:p>
        </w:tc>
        <w:tc>
          <w:tcPr>
            <w:tcW w:w="3816" w:type="dxa"/>
            <w:shd w:val="clear" w:color="auto" w:fill="F3F6F9"/>
            <w:vAlign w:val="center"/>
          </w:tcPr>
          <w:p w14:paraId="48208AF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Journey usability tests, funnel analytics, size/channel availability data.</w:t>
            </w:r>
          </w:p>
        </w:tc>
      </w:tr>
    </w:tbl>
    <w:p w14:paraId="57E2295A" w14:textId="77777777" w:rsidR="00D345AD" w:rsidRPr="000829A4" w:rsidRDefault="00D345AD">
      <w:pPr>
        <w:spacing w:after="20"/>
        <w:rPr>
          <w:rFonts w:asciiTheme="majorHAnsi" w:hAnsiTheme="majorHAnsi" w:cstheme="majorHAnsi"/>
        </w:rPr>
      </w:pPr>
    </w:p>
    <w:p w14:paraId="1A594BDF" w14:textId="77777777" w:rsidR="00D345AD" w:rsidRPr="000829A4" w:rsidRDefault="00000000">
      <w:pPr>
        <w:pStyle w:val="SmallNote"/>
        <w:rPr>
          <w:rFonts w:asciiTheme="majorHAnsi" w:hAnsiTheme="majorHAnsi" w:cstheme="majorHAnsi"/>
        </w:rPr>
      </w:pPr>
      <w:r w:rsidRPr="000829A4">
        <w:rPr>
          <w:rFonts w:asciiTheme="majorHAnsi" w:hAnsiTheme="majorHAnsi" w:cstheme="majorHAnsi"/>
        </w:rPr>
        <w:t>These are hypotheses for investigation. This report does not claim that they are established drivers for the full Indian Gen Z population.</w:t>
      </w:r>
    </w:p>
    <w:p w14:paraId="6EC06C3F" w14:textId="77777777" w:rsidR="00D345AD" w:rsidRPr="000829A4" w:rsidRDefault="00000000">
      <w:pPr>
        <w:pStyle w:val="Heading1"/>
        <w:rPr>
          <w:rFonts w:cstheme="majorHAnsi"/>
        </w:rPr>
      </w:pPr>
      <w:r w:rsidRPr="000829A4">
        <w:rPr>
          <w:rFonts w:cstheme="majorHAnsi"/>
        </w:rPr>
        <w:t>2. Market Opportunity</w:t>
      </w:r>
    </w:p>
    <w:p w14:paraId="67059C9A" w14:textId="77777777" w:rsidR="00D345AD" w:rsidRPr="000829A4" w:rsidRDefault="00000000">
      <w:pPr>
        <w:rPr>
          <w:rFonts w:asciiTheme="majorHAnsi" w:hAnsiTheme="majorHAnsi" w:cstheme="majorHAnsi"/>
        </w:rPr>
      </w:pPr>
      <w:r w:rsidRPr="000829A4">
        <w:rPr>
          <w:rFonts w:asciiTheme="majorHAnsi" w:hAnsiTheme="majorHAnsi" w:cstheme="majorHAnsi"/>
        </w:rPr>
        <w:t>Public market sources indicate growth across sportswear-related categories in India. However, category boundaries differ, so the estimates below are presented separately rather than combined.</w:t>
      </w:r>
    </w:p>
    <w:tbl>
      <w:tblPr>
        <w:tblStyle w:val="TableGrid"/>
        <w:tblW w:w="0" w:type="auto"/>
        <w:jc w:val="center"/>
        <w:tblLook w:val="04A0" w:firstRow="1" w:lastRow="0" w:firstColumn="1" w:lastColumn="0" w:noHBand="0" w:noVBand="1"/>
      </w:tblPr>
      <w:tblGrid>
        <w:gridCol w:w="2304"/>
        <w:gridCol w:w="3744"/>
        <w:gridCol w:w="3600"/>
      </w:tblGrid>
      <w:tr w:rsidR="00D345AD" w:rsidRPr="000829A4" w14:paraId="2C0E1A80" w14:textId="77777777">
        <w:trPr>
          <w:jc w:val="center"/>
        </w:trPr>
        <w:tc>
          <w:tcPr>
            <w:tcW w:w="2304" w:type="dxa"/>
            <w:shd w:val="clear" w:color="auto" w:fill="17365D"/>
            <w:vAlign w:val="center"/>
          </w:tcPr>
          <w:p w14:paraId="5D55B98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Source / category</w:t>
            </w:r>
          </w:p>
        </w:tc>
        <w:tc>
          <w:tcPr>
            <w:tcW w:w="3744" w:type="dxa"/>
            <w:shd w:val="clear" w:color="auto" w:fill="17365D"/>
            <w:vAlign w:val="center"/>
          </w:tcPr>
          <w:p w14:paraId="3CBC4ED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Reported estimate cited in desk research</w:t>
            </w:r>
          </w:p>
        </w:tc>
        <w:tc>
          <w:tcPr>
            <w:tcW w:w="3600" w:type="dxa"/>
            <w:shd w:val="clear" w:color="auto" w:fill="17365D"/>
            <w:vAlign w:val="center"/>
          </w:tcPr>
          <w:p w14:paraId="1F2A125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Interpretation</w:t>
            </w:r>
          </w:p>
        </w:tc>
      </w:tr>
      <w:tr w:rsidR="00D345AD" w:rsidRPr="000829A4" w14:paraId="53E1394A" w14:textId="77777777">
        <w:trPr>
          <w:jc w:val="center"/>
        </w:trPr>
        <w:tc>
          <w:tcPr>
            <w:tcW w:w="2304" w:type="dxa"/>
            <w:vAlign w:val="center"/>
          </w:tcPr>
          <w:p w14:paraId="341B6F40" w14:textId="4FE3FC42"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 xml:space="preserve">Euromonitor </w:t>
            </w:r>
            <w:r w:rsidR="00487DC5" w:rsidRPr="000829A4">
              <w:rPr>
                <w:rFonts w:asciiTheme="majorHAnsi" w:hAnsiTheme="majorHAnsi" w:cstheme="majorHAnsi"/>
                <w:sz w:val="16"/>
              </w:rPr>
              <w:t>-</w:t>
            </w:r>
            <w:r w:rsidRPr="000829A4">
              <w:rPr>
                <w:rFonts w:asciiTheme="majorHAnsi" w:hAnsiTheme="majorHAnsi" w:cstheme="majorHAnsi"/>
                <w:sz w:val="16"/>
              </w:rPr>
              <w:t xml:space="preserve"> broad sportswear</w:t>
            </w:r>
          </w:p>
        </w:tc>
        <w:tc>
          <w:tcPr>
            <w:tcW w:w="3744" w:type="dxa"/>
            <w:vAlign w:val="center"/>
          </w:tcPr>
          <w:p w14:paraId="1B87C06C" w14:textId="35550D8E"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2025 retail sales: ~₹824.1 billion</w:t>
            </w:r>
            <w:r w:rsidR="000829A4" w:rsidRPr="000829A4">
              <w:rPr>
                <w:rFonts w:asciiTheme="majorHAnsi" w:hAnsiTheme="majorHAnsi" w:cstheme="majorHAnsi"/>
                <w:sz w:val="16"/>
              </w:rPr>
              <w:t>,</w:t>
            </w:r>
            <w:r w:rsidRPr="000829A4">
              <w:rPr>
                <w:rFonts w:asciiTheme="majorHAnsi" w:hAnsiTheme="majorHAnsi" w:cstheme="majorHAnsi"/>
                <w:sz w:val="16"/>
              </w:rPr>
              <w:t xml:space="preserve"> 2025 current-value growth: 11%</w:t>
            </w:r>
            <w:r w:rsidR="000829A4" w:rsidRPr="000829A4">
              <w:rPr>
                <w:rFonts w:asciiTheme="majorHAnsi" w:hAnsiTheme="majorHAnsi" w:cstheme="majorHAnsi"/>
                <w:sz w:val="16"/>
              </w:rPr>
              <w:t>,</w:t>
            </w:r>
            <w:r w:rsidRPr="000829A4">
              <w:rPr>
                <w:rFonts w:asciiTheme="majorHAnsi" w:hAnsiTheme="majorHAnsi" w:cstheme="majorHAnsi"/>
                <w:sz w:val="16"/>
              </w:rPr>
              <w:t xml:space="preserve"> forecast: ~₹1.30 trillion by 2030 at 10% CAGR.</w:t>
            </w:r>
          </w:p>
        </w:tc>
        <w:tc>
          <w:tcPr>
            <w:tcW w:w="3600" w:type="dxa"/>
            <w:vAlign w:val="center"/>
          </w:tcPr>
          <w:p w14:paraId="41ED9E5D" w14:textId="6398A6FA"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Broad category context only</w:t>
            </w:r>
            <w:r w:rsidR="000829A4" w:rsidRPr="000829A4">
              <w:rPr>
                <w:rFonts w:asciiTheme="majorHAnsi" w:hAnsiTheme="majorHAnsi" w:cstheme="majorHAnsi"/>
                <w:sz w:val="16"/>
              </w:rPr>
              <w:t>,</w:t>
            </w:r>
            <w:r w:rsidRPr="000829A4">
              <w:rPr>
                <w:rFonts w:asciiTheme="majorHAnsi" w:hAnsiTheme="majorHAnsi" w:cstheme="majorHAnsi"/>
                <w:sz w:val="16"/>
              </w:rPr>
              <w:t xml:space="preserve"> not Gen Z-specific, Nike-specific, or a calculated addressable market.</w:t>
            </w:r>
          </w:p>
        </w:tc>
      </w:tr>
      <w:tr w:rsidR="00D345AD" w:rsidRPr="000829A4" w14:paraId="50622DED" w14:textId="77777777">
        <w:trPr>
          <w:jc w:val="center"/>
        </w:trPr>
        <w:tc>
          <w:tcPr>
            <w:tcW w:w="2304" w:type="dxa"/>
            <w:shd w:val="clear" w:color="auto" w:fill="F3F6F9"/>
            <w:vAlign w:val="center"/>
          </w:tcPr>
          <w:p w14:paraId="025FAE1E" w14:textId="6668872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Athletic footwear estimate cited in Hindustan Foods AR 2024</w:t>
            </w:r>
            <w:r w:rsidR="00487DC5" w:rsidRPr="000829A4">
              <w:rPr>
                <w:rFonts w:asciiTheme="majorHAnsi" w:hAnsiTheme="majorHAnsi" w:cstheme="majorHAnsi"/>
                <w:sz w:val="16"/>
              </w:rPr>
              <w:t xml:space="preserve"> - </w:t>
            </w:r>
            <w:r w:rsidRPr="000829A4">
              <w:rPr>
                <w:rFonts w:asciiTheme="majorHAnsi" w:hAnsiTheme="majorHAnsi" w:cstheme="majorHAnsi"/>
                <w:sz w:val="16"/>
              </w:rPr>
              <w:t>25 (attributed there to IMARC)</w:t>
            </w:r>
          </w:p>
        </w:tc>
        <w:tc>
          <w:tcPr>
            <w:tcW w:w="3744" w:type="dxa"/>
            <w:shd w:val="clear" w:color="auto" w:fill="F3F6F9"/>
            <w:vAlign w:val="center"/>
          </w:tcPr>
          <w:p w14:paraId="2BA76D65" w14:textId="35DD723D"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CY2024: ~US$5.9 billion</w:t>
            </w:r>
            <w:r w:rsidR="000829A4" w:rsidRPr="000829A4">
              <w:rPr>
                <w:rFonts w:asciiTheme="majorHAnsi" w:hAnsiTheme="majorHAnsi" w:cstheme="majorHAnsi"/>
                <w:sz w:val="16"/>
              </w:rPr>
              <w:t>,</w:t>
            </w:r>
            <w:r w:rsidRPr="000829A4">
              <w:rPr>
                <w:rFonts w:asciiTheme="majorHAnsi" w:hAnsiTheme="majorHAnsi" w:cstheme="majorHAnsi"/>
                <w:sz w:val="16"/>
              </w:rPr>
              <w:t xml:space="preserve"> forecast ~US$9.8 billion by CY2033 at 5.2% CAGR.</w:t>
            </w:r>
          </w:p>
        </w:tc>
        <w:tc>
          <w:tcPr>
            <w:tcW w:w="3600" w:type="dxa"/>
            <w:shd w:val="clear" w:color="auto" w:fill="F3F6F9"/>
            <w:vAlign w:val="center"/>
          </w:tcPr>
          <w:p w14:paraId="511C93E2" w14:textId="08234394"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Secondary citation</w:t>
            </w:r>
            <w:r w:rsidR="000829A4" w:rsidRPr="000829A4">
              <w:rPr>
                <w:rFonts w:asciiTheme="majorHAnsi" w:hAnsiTheme="majorHAnsi" w:cstheme="majorHAnsi"/>
                <w:sz w:val="16"/>
              </w:rPr>
              <w:t>,</w:t>
            </w:r>
            <w:r w:rsidRPr="000829A4">
              <w:rPr>
                <w:rFonts w:asciiTheme="majorHAnsi" w:hAnsiTheme="majorHAnsi" w:cstheme="majorHAnsi"/>
                <w:sz w:val="16"/>
              </w:rPr>
              <w:t xml:space="preserve"> narrower footwear category and not directly comparable with broad sportswear.</w:t>
            </w:r>
          </w:p>
        </w:tc>
      </w:tr>
      <w:tr w:rsidR="00D345AD" w:rsidRPr="000829A4" w14:paraId="572ACA40" w14:textId="77777777">
        <w:trPr>
          <w:jc w:val="center"/>
        </w:trPr>
        <w:tc>
          <w:tcPr>
            <w:tcW w:w="2304" w:type="dxa"/>
            <w:vAlign w:val="center"/>
          </w:tcPr>
          <w:p w14:paraId="6188BB5B" w14:textId="60B7D209"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Ken Research</w:t>
            </w:r>
            <w:r w:rsidR="00487DC5" w:rsidRPr="000829A4">
              <w:rPr>
                <w:rFonts w:asciiTheme="majorHAnsi" w:hAnsiTheme="majorHAnsi" w:cstheme="majorHAnsi"/>
                <w:sz w:val="16"/>
              </w:rPr>
              <w:t xml:space="preserve"> -</w:t>
            </w:r>
            <w:r w:rsidRPr="000829A4">
              <w:rPr>
                <w:rFonts w:asciiTheme="majorHAnsi" w:hAnsiTheme="majorHAnsi" w:cstheme="majorHAnsi"/>
                <w:sz w:val="16"/>
              </w:rPr>
              <w:t xml:space="preserve"> sports apparel</w:t>
            </w:r>
          </w:p>
        </w:tc>
        <w:tc>
          <w:tcPr>
            <w:tcW w:w="3744" w:type="dxa"/>
            <w:vAlign w:val="center"/>
          </w:tcPr>
          <w:p w14:paraId="55887F3A" w14:textId="0C1DC1E8"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Public summary: ~US$812 million in 2025</w:t>
            </w:r>
            <w:r w:rsidR="000829A4" w:rsidRPr="000829A4">
              <w:rPr>
                <w:rFonts w:asciiTheme="majorHAnsi" w:hAnsiTheme="majorHAnsi" w:cstheme="majorHAnsi"/>
                <w:sz w:val="16"/>
              </w:rPr>
              <w:t>,</w:t>
            </w:r>
            <w:r w:rsidRPr="000829A4">
              <w:rPr>
                <w:rFonts w:asciiTheme="majorHAnsi" w:hAnsiTheme="majorHAnsi" w:cstheme="majorHAnsi"/>
                <w:sz w:val="16"/>
              </w:rPr>
              <w:t xml:space="preserve"> projected 14.52% CAGR through 2031.</w:t>
            </w:r>
          </w:p>
        </w:tc>
        <w:tc>
          <w:tcPr>
            <w:tcW w:w="3600" w:type="dxa"/>
            <w:vAlign w:val="center"/>
          </w:tcPr>
          <w:p w14:paraId="7085C6DC" w14:textId="03138F52"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Apparel-only estimate</w:t>
            </w:r>
            <w:r w:rsidR="000829A4" w:rsidRPr="000829A4">
              <w:rPr>
                <w:rFonts w:asciiTheme="majorHAnsi" w:hAnsiTheme="majorHAnsi" w:cstheme="majorHAnsi"/>
                <w:sz w:val="16"/>
              </w:rPr>
              <w:t>,</w:t>
            </w:r>
            <w:r w:rsidRPr="000829A4">
              <w:rPr>
                <w:rFonts w:asciiTheme="majorHAnsi" w:hAnsiTheme="majorHAnsi" w:cstheme="majorHAnsi"/>
                <w:sz w:val="16"/>
              </w:rPr>
              <w:t xml:space="preserve"> definitions and methodology may differ from other providers.</w:t>
            </w:r>
          </w:p>
        </w:tc>
      </w:tr>
    </w:tbl>
    <w:p w14:paraId="1F9DDB7C" w14:textId="77777777" w:rsidR="00D345AD" w:rsidRPr="000829A4" w:rsidRDefault="00D345AD">
      <w:pPr>
        <w:spacing w:after="20"/>
        <w:rPr>
          <w:rFonts w:asciiTheme="majorHAnsi" w:hAnsiTheme="majorHAnsi" w:cstheme="majorHAnsi"/>
        </w:rPr>
      </w:pPr>
    </w:p>
    <w:p w14:paraId="05F9DC8C" w14:textId="77777777" w:rsidR="00D345AD" w:rsidRPr="000829A4" w:rsidRDefault="00000000">
      <w:pPr>
        <w:rPr>
          <w:rFonts w:asciiTheme="majorHAnsi" w:hAnsiTheme="majorHAnsi" w:cstheme="majorHAnsi"/>
        </w:rPr>
      </w:pPr>
      <w:r w:rsidRPr="000829A4">
        <w:rPr>
          <w:rFonts w:asciiTheme="majorHAnsi" w:hAnsiTheme="majorHAnsi" w:cstheme="majorHAnsi"/>
        </w:rPr>
        <w:t>The estimates support the relevance of assessing sportswear-related demand, but they do not establish the size of Nike’s serviceable market. A defensible TAM/SAM/SOM would require a consistent category definition, consumer cohort, channel scope, price bands, and a transparent sizing method.</w:t>
      </w:r>
    </w:p>
    <w:p w14:paraId="5D8E98AF" w14:textId="77777777" w:rsidR="00D345AD" w:rsidRPr="000829A4" w:rsidRDefault="00000000">
      <w:pPr>
        <w:pStyle w:val="Heading2"/>
        <w:rPr>
          <w:rFonts w:cstheme="majorHAnsi"/>
        </w:rPr>
      </w:pPr>
      <w:r w:rsidRPr="000829A4">
        <w:rPr>
          <w:rFonts w:cstheme="majorHAnsi"/>
        </w:rPr>
        <w:t>2.1 Opportunity framing</w:t>
      </w:r>
    </w:p>
    <w:p w14:paraId="428469C2"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Category participation: sports and fitness use cases may coexist with casual, campus, and streetwear occasions.</w:t>
      </w:r>
    </w:p>
    <w:p w14:paraId="6CDA1ECD"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Consumer entry points: a clear product architecture across use cases and price bands can help customers navigate the range.</w:t>
      </w:r>
    </w:p>
    <w:p w14:paraId="06DC8AD3"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Community-led discovery: campus, running, training, and local creator ecosystems offer testable routes to engagement.</w:t>
      </w:r>
    </w:p>
    <w:p w14:paraId="55C666F1" w14:textId="53BC5D90"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Conversion discipline: growth should be measured beyond reach</w:t>
      </w:r>
      <w:r w:rsidR="00487DC5" w:rsidRPr="000829A4">
        <w:rPr>
          <w:rFonts w:asciiTheme="majorHAnsi" w:hAnsiTheme="majorHAnsi" w:cstheme="majorHAnsi"/>
        </w:rPr>
        <w:t xml:space="preserve">, </w:t>
      </w:r>
      <w:r w:rsidRPr="000829A4">
        <w:rPr>
          <w:rFonts w:asciiTheme="majorHAnsi" w:hAnsiTheme="majorHAnsi" w:cstheme="majorHAnsi"/>
        </w:rPr>
        <w:t>through qualified visits, purchase conversion, contribution, and repeat behaviour.</w:t>
      </w:r>
    </w:p>
    <w:tbl>
      <w:tblPr>
        <w:tblStyle w:val="TableGrid"/>
        <w:tblW w:w="0" w:type="auto"/>
        <w:tblLook w:val="04A0" w:firstRow="1" w:lastRow="0" w:firstColumn="1" w:lastColumn="0" w:noHBand="0" w:noVBand="1"/>
      </w:tblPr>
      <w:tblGrid>
        <w:gridCol w:w="9984"/>
      </w:tblGrid>
      <w:tr w:rsidR="00D345AD" w:rsidRPr="000829A4" w14:paraId="2B984B07" w14:textId="77777777">
        <w:tc>
          <w:tcPr>
            <w:tcW w:w="9994" w:type="dxa"/>
            <w:shd w:val="clear" w:color="auto" w:fill="FFF2CC"/>
          </w:tcPr>
          <w:p w14:paraId="3767FE6C" w14:textId="77777777" w:rsidR="00D345AD" w:rsidRPr="000829A4" w:rsidRDefault="00000000">
            <w:pPr>
              <w:keepLines/>
              <w:spacing w:after="40"/>
              <w:rPr>
                <w:rFonts w:asciiTheme="majorHAnsi" w:hAnsiTheme="majorHAnsi" w:cstheme="majorHAnsi"/>
              </w:rPr>
            </w:pPr>
            <w:r w:rsidRPr="000829A4">
              <w:rPr>
                <w:rFonts w:asciiTheme="majorHAnsi" w:hAnsiTheme="majorHAnsi" w:cstheme="majorHAnsi"/>
                <w:b/>
                <w:color w:val="17365D"/>
              </w:rPr>
              <w:t xml:space="preserve">Market sizing guardrail  </w:t>
            </w:r>
            <w:r w:rsidRPr="000829A4">
              <w:rPr>
                <w:rFonts w:asciiTheme="majorHAnsi" w:hAnsiTheme="majorHAnsi" w:cstheme="majorHAnsi"/>
              </w:rPr>
              <w:t>Do not multiply the broad sportswear market by an assumed Gen Z percentage and label it Nike TAM. That would create false precision without validated cohort, share, and category data.</w:t>
            </w:r>
          </w:p>
        </w:tc>
      </w:tr>
    </w:tbl>
    <w:p w14:paraId="0C832490" w14:textId="77777777" w:rsidR="00D345AD" w:rsidRPr="000829A4" w:rsidRDefault="00D345AD">
      <w:pPr>
        <w:spacing w:after="20"/>
        <w:rPr>
          <w:rFonts w:asciiTheme="majorHAnsi" w:hAnsiTheme="majorHAnsi" w:cstheme="majorHAnsi"/>
        </w:rPr>
      </w:pPr>
    </w:p>
    <w:p w14:paraId="1E1E53B3" w14:textId="77777777" w:rsidR="00D345AD" w:rsidRPr="000829A4" w:rsidRDefault="00000000">
      <w:pPr>
        <w:pStyle w:val="Heading1"/>
        <w:rPr>
          <w:rFonts w:cstheme="majorHAnsi"/>
        </w:rPr>
      </w:pPr>
      <w:r w:rsidRPr="000829A4">
        <w:rPr>
          <w:rFonts w:cstheme="majorHAnsi"/>
        </w:rPr>
        <w:lastRenderedPageBreak/>
        <w:t>3. Consumer &amp; Segment Framework</w:t>
      </w:r>
    </w:p>
    <w:p w14:paraId="0C7DB406" w14:textId="77777777" w:rsidR="00D345AD" w:rsidRPr="000829A4" w:rsidRDefault="00000000">
      <w:pPr>
        <w:rPr>
          <w:rFonts w:asciiTheme="majorHAnsi" w:hAnsiTheme="majorHAnsi" w:cstheme="majorHAnsi"/>
        </w:rPr>
      </w:pPr>
      <w:r w:rsidRPr="000829A4">
        <w:rPr>
          <w:rFonts w:asciiTheme="majorHAnsi" w:hAnsiTheme="majorHAnsi" w:cstheme="majorHAnsi"/>
        </w:rPr>
        <w:t>The following segments are practical planning personas to guide research and pilot design. They are not statistical clusters and may overlap.</w:t>
      </w:r>
    </w:p>
    <w:tbl>
      <w:tblPr>
        <w:tblStyle w:val="TableGrid"/>
        <w:tblW w:w="0" w:type="auto"/>
        <w:jc w:val="center"/>
        <w:tblLook w:val="04A0" w:firstRow="1" w:lastRow="0" w:firstColumn="1" w:lastColumn="0" w:noHBand="0" w:noVBand="1"/>
      </w:tblPr>
      <w:tblGrid>
        <w:gridCol w:w="2232"/>
        <w:gridCol w:w="3888"/>
        <w:gridCol w:w="3744"/>
      </w:tblGrid>
      <w:tr w:rsidR="00D345AD" w:rsidRPr="000829A4" w14:paraId="2D070D1E" w14:textId="77777777">
        <w:trPr>
          <w:jc w:val="center"/>
        </w:trPr>
        <w:tc>
          <w:tcPr>
            <w:tcW w:w="2232" w:type="dxa"/>
            <w:shd w:val="clear" w:color="auto" w:fill="17365D"/>
            <w:vAlign w:val="center"/>
          </w:tcPr>
          <w:p w14:paraId="4D70144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Working segment</w:t>
            </w:r>
          </w:p>
        </w:tc>
        <w:tc>
          <w:tcPr>
            <w:tcW w:w="3888" w:type="dxa"/>
            <w:shd w:val="clear" w:color="auto" w:fill="17365D"/>
            <w:vAlign w:val="center"/>
          </w:tcPr>
          <w:p w14:paraId="5FC700A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Potential need state</w:t>
            </w:r>
          </w:p>
        </w:tc>
        <w:tc>
          <w:tcPr>
            <w:tcW w:w="3744" w:type="dxa"/>
            <w:shd w:val="clear" w:color="auto" w:fill="17365D"/>
            <w:vAlign w:val="center"/>
          </w:tcPr>
          <w:p w14:paraId="7070A8C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Questions to validate</w:t>
            </w:r>
          </w:p>
        </w:tc>
      </w:tr>
      <w:tr w:rsidR="00D345AD" w:rsidRPr="000829A4" w14:paraId="127D8A60" w14:textId="77777777">
        <w:trPr>
          <w:jc w:val="center"/>
        </w:trPr>
        <w:tc>
          <w:tcPr>
            <w:tcW w:w="2232" w:type="dxa"/>
            <w:vAlign w:val="center"/>
          </w:tcPr>
          <w:p w14:paraId="028F0E7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Campus Trendsetters</w:t>
            </w:r>
          </w:p>
        </w:tc>
        <w:tc>
          <w:tcPr>
            <w:tcW w:w="3888" w:type="dxa"/>
            <w:vAlign w:val="center"/>
          </w:tcPr>
          <w:p w14:paraId="4529D70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Style, identity, social relevance, versatility, and peer visibility.</w:t>
            </w:r>
          </w:p>
        </w:tc>
        <w:tc>
          <w:tcPr>
            <w:tcW w:w="3744" w:type="dxa"/>
            <w:vAlign w:val="center"/>
          </w:tcPr>
          <w:p w14:paraId="712AD01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Which occasions shape footwear/apparel choice? Which creators, peers, or campus activities influence discovery?</w:t>
            </w:r>
          </w:p>
        </w:tc>
      </w:tr>
      <w:tr w:rsidR="00D345AD" w:rsidRPr="000829A4" w14:paraId="69289284" w14:textId="77777777">
        <w:trPr>
          <w:jc w:val="center"/>
        </w:trPr>
        <w:tc>
          <w:tcPr>
            <w:tcW w:w="2232" w:type="dxa"/>
            <w:shd w:val="clear" w:color="auto" w:fill="F3F6F9"/>
            <w:vAlign w:val="center"/>
          </w:tcPr>
          <w:p w14:paraId="7532492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Fitness Enthusiasts</w:t>
            </w:r>
          </w:p>
        </w:tc>
        <w:tc>
          <w:tcPr>
            <w:tcW w:w="3888" w:type="dxa"/>
            <w:shd w:val="clear" w:color="auto" w:fill="F3F6F9"/>
            <w:vAlign w:val="center"/>
          </w:tcPr>
          <w:p w14:paraId="252C896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Comfort, functional performance, durability, fit, and confidence in activity.</w:t>
            </w:r>
          </w:p>
        </w:tc>
        <w:tc>
          <w:tcPr>
            <w:tcW w:w="3744" w:type="dxa"/>
            <w:shd w:val="clear" w:color="auto" w:fill="F3F6F9"/>
            <w:vAlign w:val="center"/>
          </w:tcPr>
          <w:p w14:paraId="389FE53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Which product features are valued? What triggers upgrade or repeat purchase?</w:t>
            </w:r>
          </w:p>
        </w:tc>
      </w:tr>
      <w:tr w:rsidR="00D345AD" w:rsidRPr="000829A4" w14:paraId="4BF66760" w14:textId="77777777">
        <w:trPr>
          <w:jc w:val="center"/>
        </w:trPr>
        <w:tc>
          <w:tcPr>
            <w:tcW w:w="2232" w:type="dxa"/>
            <w:vAlign w:val="center"/>
          </w:tcPr>
          <w:p w14:paraId="5489CC9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Young Urban Professionals</w:t>
            </w:r>
          </w:p>
        </w:tc>
        <w:tc>
          <w:tcPr>
            <w:tcW w:w="3888" w:type="dxa"/>
            <w:vAlign w:val="center"/>
          </w:tcPr>
          <w:p w14:paraId="457B63C6" w14:textId="36C39A11"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Versatility across commute, work-casual, and exercise</w:t>
            </w:r>
            <w:r w:rsidR="000829A4" w:rsidRPr="000829A4">
              <w:rPr>
                <w:rFonts w:asciiTheme="majorHAnsi" w:hAnsiTheme="majorHAnsi" w:cstheme="majorHAnsi"/>
                <w:sz w:val="16"/>
              </w:rPr>
              <w:t>,</w:t>
            </w:r>
            <w:r w:rsidRPr="000829A4">
              <w:rPr>
                <w:rFonts w:asciiTheme="majorHAnsi" w:hAnsiTheme="majorHAnsi" w:cstheme="majorHAnsi"/>
                <w:sz w:val="16"/>
              </w:rPr>
              <w:t xml:space="preserve"> comfort and convenience.</w:t>
            </w:r>
          </w:p>
        </w:tc>
        <w:tc>
          <w:tcPr>
            <w:tcW w:w="3744" w:type="dxa"/>
            <w:vAlign w:val="center"/>
          </w:tcPr>
          <w:p w14:paraId="29AF7A5F"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How are products selected across occasions? What is the role of online/offline convenience?</w:t>
            </w:r>
          </w:p>
        </w:tc>
      </w:tr>
      <w:tr w:rsidR="00D345AD" w:rsidRPr="000829A4" w14:paraId="1A90C661" w14:textId="77777777">
        <w:trPr>
          <w:jc w:val="center"/>
        </w:trPr>
        <w:tc>
          <w:tcPr>
            <w:tcW w:w="2232" w:type="dxa"/>
            <w:shd w:val="clear" w:color="auto" w:fill="F3F6F9"/>
            <w:vAlign w:val="center"/>
          </w:tcPr>
          <w:p w14:paraId="46E8B80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Sneaker &amp; Culture Enthusiasts</w:t>
            </w:r>
          </w:p>
        </w:tc>
        <w:tc>
          <w:tcPr>
            <w:tcW w:w="3888" w:type="dxa"/>
            <w:shd w:val="clear" w:color="auto" w:fill="F3F6F9"/>
            <w:vAlign w:val="center"/>
          </w:tcPr>
          <w:p w14:paraId="68E98CF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Design, drops, collaborations, brand story, collectability, and community.</w:t>
            </w:r>
          </w:p>
        </w:tc>
        <w:tc>
          <w:tcPr>
            <w:tcW w:w="3744" w:type="dxa"/>
            <w:shd w:val="clear" w:color="auto" w:fill="F3F6F9"/>
            <w:vAlign w:val="center"/>
          </w:tcPr>
          <w:p w14:paraId="62D182B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Which cues create consideration? How do availability and authenticity affect purchase?</w:t>
            </w:r>
          </w:p>
        </w:tc>
      </w:tr>
    </w:tbl>
    <w:p w14:paraId="3F17428B" w14:textId="77777777" w:rsidR="00D345AD" w:rsidRPr="000829A4" w:rsidRDefault="00D345AD">
      <w:pPr>
        <w:spacing w:after="20"/>
        <w:rPr>
          <w:rFonts w:asciiTheme="majorHAnsi" w:hAnsiTheme="majorHAnsi" w:cstheme="majorHAnsi"/>
        </w:rPr>
      </w:pPr>
    </w:p>
    <w:p w14:paraId="7A609706" w14:textId="77777777" w:rsidR="00D345AD" w:rsidRPr="000829A4" w:rsidRDefault="00000000">
      <w:pPr>
        <w:pStyle w:val="Heading2"/>
        <w:rPr>
          <w:rFonts w:cstheme="majorHAnsi"/>
        </w:rPr>
      </w:pPr>
      <w:r w:rsidRPr="000829A4">
        <w:rPr>
          <w:rFonts w:cstheme="majorHAnsi"/>
        </w:rPr>
        <w:t>3.1 Research plan for validation</w:t>
      </w:r>
    </w:p>
    <w:p w14:paraId="668EBAC9" w14:textId="03916B59"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Quantitative survey: establish a clearly defined sample across age bands, cities, gender, activity levels, and purchase channels</w:t>
      </w:r>
      <w:r w:rsidR="000829A4" w:rsidRPr="000829A4">
        <w:rPr>
          <w:rFonts w:asciiTheme="majorHAnsi" w:hAnsiTheme="majorHAnsi" w:cstheme="majorHAnsi"/>
        </w:rPr>
        <w:t>,</w:t>
      </w:r>
      <w:r w:rsidRPr="000829A4">
        <w:rPr>
          <w:rFonts w:asciiTheme="majorHAnsi" w:hAnsiTheme="majorHAnsi" w:cstheme="majorHAnsi"/>
        </w:rPr>
        <w:t xml:space="preserve"> report sampling and limitations.</w:t>
      </w:r>
    </w:p>
    <w:p w14:paraId="0CA0A9BC" w14:textId="7D1355DA"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Exploratory interviews: conduct 8</w:t>
      </w:r>
      <w:r w:rsidR="00487DC5" w:rsidRPr="000829A4">
        <w:rPr>
          <w:rFonts w:asciiTheme="majorHAnsi" w:hAnsiTheme="majorHAnsi" w:cstheme="majorHAnsi"/>
        </w:rPr>
        <w:t xml:space="preserve"> - </w:t>
      </w:r>
      <w:r w:rsidRPr="000829A4">
        <w:rPr>
          <w:rFonts w:asciiTheme="majorHAnsi" w:hAnsiTheme="majorHAnsi" w:cstheme="majorHAnsi"/>
        </w:rPr>
        <w:t>12 interviews across the working segments to understand occasions, motivations, trade-offs, and unmet needs.</w:t>
      </w:r>
    </w:p>
    <w:p w14:paraId="0A9C3651"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Journey review: test discovery, comparison, sizing, delivery, returns, and store-to-digital transitions.</w:t>
      </w:r>
    </w:p>
    <w:p w14:paraId="25DC6A90"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Behavioural evidence: where authorized, use campaign and commerce analytics to connect exposure to qualified visits, orders, returns, and repeat purchases.</w:t>
      </w:r>
    </w:p>
    <w:p w14:paraId="13F0E571" w14:textId="77777777" w:rsidR="00D345AD" w:rsidRPr="000829A4" w:rsidRDefault="00000000">
      <w:pPr>
        <w:pStyle w:val="SmallNote"/>
        <w:rPr>
          <w:rFonts w:asciiTheme="majorHAnsi" w:hAnsiTheme="majorHAnsi" w:cstheme="majorHAnsi"/>
        </w:rPr>
      </w:pPr>
      <w:r w:rsidRPr="000829A4">
        <w:rPr>
          <w:rFonts w:asciiTheme="majorHAnsi" w:hAnsiTheme="majorHAnsi" w:cstheme="majorHAnsi"/>
        </w:rPr>
        <w:t>No primary survey or interview results are claimed in this report. The research plan is a proposed next step.</w:t>
      </w:r>
    </w:p>
    <w:p w14:paraId="1B9ECC56" w14:textId="77777777" w:rsidR="00D345AD" w:rsidRPr="000829A4" w:rsidRDefault="00000000">
      <w:pPr>
        <w:pStyle w:val="Heading1"/>
        <w:rPr>
          <w:rFonts w:cstheme="majorHAnsi"/>
        </w:rPr>
      </w:pPr>
      <w:r w:rsidRPr="000829A4">
        <w:rPr>
          <w:rFonts w:cstheme="majorHAnsi"/>
        </w:rPr>
        <w:t>4. Competitive Landscape</w:t>
      </w:r>
    </w:p>
    <w:p w14:paraId="3611C022" w14:textId="516AA49E" w:rsidR="00D345AD" w:rsidRPr="000829A4" w:rsidRDefault="00000000">
      <w:pPr>
        <w:rPr>
          <w:rFonts w:asciiTheme="majorHAnsi" w:hAnsiTheme="majorHAnsi" w:cstheme="majorHAnsi"/>
        </w:rPr>
      </w:pPr>
      <w:r w:rsidRPr="000829A4">
        <w:rPr>
          <w:rFonts w:asciiTheme="majorHAnsi" w:hAnsiTheme="majorHAnsi" w:cstheme="majorHAnsi"/>
        </w:rPr>
        <w:t xml:space="preserve">The competitor workbook provides a structured, qualitative view of selected brands. Their relevance differs by category and use </w:t>
      </w:r>
      <w:proofErr w:type="gramStart"/>
      <w:r w:rsidRPr="000829A4">
        <w:rPr>
          <w:rFonts w:asciiTheme="majorHAnsi" w:hAnsiTheme="majorHAnsi" w:cstheme="majorHAnsi"/>
        </w:rPr>
        <w:t>case</w:t>
      </w:r>
      <w:r w:rsidR="000829A4" w:rsidRPr="000829A4">
        <w:rPr>
          <w:rFonts w:asciiTheme="majorHAnsi" w:hAnsiTheme="majorHAnsi" w:cstheme="majorHAnsi"/>
        </w:rPr>
        <w:t>,</w:t>
      </w:r>
      <w:proofErr w:type="gramEnd"/>
      <w:r w:rsidRPr="000829A4">
        <w:rPr>
          <w:rFonts w:asciiTheme="majorHAnsi" w:hAnsiTheme="majorHAnsi" w:cstheme="majorHAnsi"/>
        </w:rPr>
        <w:t xml:space="preserve"> this is not a like-for-like ranking.</w:t>
      </w:r>
    </w:p>
    <w:tbl>
      <w:tblPr>
        <w:tblStyle w:val="TableGrid"/>
        <w:tblW w:w="0" w:type="auto"/>
        <w:jc w:val="center"/>
        <w:tblLook w:val="04A0" w:firstRow="1" w:lastRow="0" w:firstColumn="1" w:lastColumn="0" w:noHBand="0" w:noVBand="1"/>
      </w:tblPr>
      <w:tblGrid>
        <w:gridCol w:w="1800"/>
        <w:gridCol w:w="3096"/>
        <w:gridCol w:w="4968"/>
      </w:tblGrid>
      <w:tr w:rsidR="00D345AD" w:rsidRPr="000829A4" w14:paraId="7925D5F7" w14:textId="77777777">
        <w:trPr>
          <w:jc w:val="center"/>
        </w:trPr>
        <w:tc>
          <w:tcPr>
            <w:tcW w:w="1800" w:type="dxa"/>
            <w:shd w:val="clear" w:color="auto" w:fill="17365D"/>
            <w:vAlign w:val="center"/>
          </w:tcPr>
          <w:p w14:paraId="6204975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Brand</w:t>
            </w:r>
          </w:p>
        </w:tc>
        <w:tc>
          <w:tcPr>
            <w:tcW w:w="3096" w:type="dxa"/>
            <w:shd w:val="clear" w:color="auto" w:fill="17365D"/>
            <w:vAlign w:val="center"/>
          </w:tcPr>
          <w:p w14:paraId="652FC1C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Broad positioning lens in this case</w:t>
            </w:r>
          </w:p>
        </w:tc>
        <w:tc>
          <w:tcPr>
            <w:tcW w:w="4968" w:type="dxa"/>
            <w:shd w:val="clear" w:color="auto" w:fill="17365D"/>
            <w:vAlign w:val="center"/>
          </w:tcPr>
          <w:p w14:paraId="74298D7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Comparison considerations</w:t>
            </w:r>
          </w:p>
        </w:tc>
      </w:tr>
      <w:tr w:rsidR="00D345AD" w:rsidRPr="000829A4" w14:paraId="45C32240" w14:textId="77777777">
        <w:trPr>
          <w:jc w:val="center"/>
        </w:trPr>
        <w:tc>
          <w:tcPr>
            <w:tcW w:w="1800" w:type="dxa"/>
            <w:vAlign w:val="center"/>
          </w:tcPr>
          <w:p w14:paraId="3B8E51C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Nike</w:t>
            </w:r>
          </w:p>
        </w:tc>
        <w:tc>
          <w:tcPr>
            <w:tcW w:w="3096" w:type="dxa"/>
            <w:vAlign w:val="center"/>
          </w:tcPr>
          <w:p w14:paraId="5DE317A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Performance and sport-lifestyle</w:t>
            </w:r>
          </w:p>
        </w:tc>
        <w:tc>
          <w:tcPr>
            <w:tcW w:w="4968" w:type="dxa"/>
            <w:vAlign w:val="center"/>
          </w:tcPr>
          <w:p w14:paraId="6C103B6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Product purpose, design, brand meaning, price ladder, digital journey.</w:t>
            </w:r>
          </w:p>
        </w:tc>
      </w:tr>
      <w:tr w:rsidR="00D345AD" w:rsidRPr="000829A4" w14:paraId="5AF85A21" w14:textId="77777777">
        <w:trPr>
          <w:jc w:val="center"/>
        </w:trPr>
        <w:tc>
          <w:tcPr>
            <w:tcW w:w="1800" w:type="dxa"/>
            <w:shd w:val="clear" w:color="auto" w:fill="F3F6F9"/>
            <w:vAlign w:val="center"/>
          </w:tcPr>
          <w:p w14:paraId="6A05D0A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adidas</w:t>
            </w:r>
          </w:p>
        </w:tc>
        <w:tc>
          <w:tcPr>
            <w:tcW w:w="3096" w:type="dxa"/>
            <w:shd w:val="clear" w:color="auto" w:fill="F3F6F9"/>
            <w:vAlign w:val="center"/>
          </w:tcPr>
          <w:p w14:paraId="7C21B97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Performance and sport-lifestyle</w:t>
            </w:r>
          </w:p>
        </w:tc>
        <w:tc>
          <w:tcPr>
            <w:tcW w:w="4968" w:type="dxa"/>
            <w:shd w:val="clear" w:color="auto" w:fill="F3F6F9"/>
            <w:vAlign w:val="center"/>
          </w:tcPr>
          <w:p w14:paraId="34D498D8" w14:textId="6841F8AC"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Training/running versus Originals/lifestyle contexts</w:t>
            </w:r>
            <w:r w:rsidR="000829A4" w:rsidRPr="000829A4">
              <w:rPr>
                <w:rFonts w:asciiTheme="majorHAnsi" w:hAnsiTheme="majorHAnsi" w:cstheme="majorHAnsi"/>
                <w:sz w:val="16"/>
              </w:rPr>
              <w:t>,</w:t>
            </w:r>
            <w:r w:rsidRPr="000829A4">
              <w:rPr>
                <w:rFonts w:asciiTheme="majorHAnsi" w:hAnsiTheme="majorHAnsi" w:cstheme="majorHAnsi"/>
                <w:sz w:val="16"/>
              </w:rPr>
              <w:t xml:space="preserve"> product and channel mix.</w:t>
            </w:r>
          </w:p>
        </w:tc>
      </w:tr>
      <w:tr w:rsidR="00D345AD" w:rsidRPr="000829A4" w14:paraId="49BEC2F9" w14:textId="77777777">
        <w:trPr>
          <w:jc w:val="center"/>
        </w:trPr>
        <w:tc>
          <w:tcPr>
            <w:tcW w:w="1800" w:type="dxa"/>
            <w:vAlign w:val="center"/>
          </w:tcPr>
          <w:p w14:paraId="04A67EA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Puma</w:t>
            </w:r>
          </w:p>
        </w:tc>
        <w:tc>
          <w:tcPr>
            <w:tcW w:w="3096" w:type="dxa"/>
            <w:vAlign w:val="center"/>
          </w:tcPr>
          <w:p w14:paraId="02559E4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Sportstyle, training and running</w:t>
            </w:r>
          </w:p>
        </w:tc>
        <w:tc>
          <w:tcPr>
            <w:tcW w:w="4968" w:type="dxa"/>
            <w:vAlign w:val="center"/>
          </w:tcPr>
          <w:p w14:paraId="29A56920" w14:textId="50E3F5DB"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Style-led and activity-led use cases</w:t>
            </w:r>
            <w:r w:rsidR="000829A4" w:rsidRPr="000829A4">
              <w:rPr>
                <w:rFonts w:asciiTheme="majorHAnsi" w:hAnsiTheme="majorHAnsi" w:cstheme="majorHAnsi"/>
                <w:sz w:val="16"/>
              </w:rPr>
              <w:t>,</w:t>
            </w:r>
            <w:r w:rsidRPr="000829A4">
              <w:rPr>
                <w:rFonts w:asciiTheme="majorHAnsi" w:hAnsiTheme="majorHAnsi" w:cstheme="majorHAnsi"/>
                <w:sz w:val="16"/>
              </w:rPr>
              <w:t xml:space="preserve"> promotions and assortment.</w:t>
            </w:r>
          </w:p>
        </w:tc>
      </w:tr>
      <w:tr w:rsidR="00D345AD" w:rsidRPr="000829A4" w14:paraId="289D8834" w14:textId="77777777">
        <w:trPr>
          <w:jc w:val="center"/>
        </w:trPr>
        <w:tc>
          <w:tcPr>
            <w:tcW w:w="1800" w:type="dxa"/>
            <w:shd w:val="clear" w:color="auto" w:fill="F3F6F9"/>
            <w:vAlign w:val="center"/>
          </w:tcPr>
          <w:p w14:paraId="364AACD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Skechers</w:t>
            </w:r>
          </w:p>
        </w:tc>
        <w:tc>
          <w:tcPr>
            <w:tcW w:w="3096" w:type="dxa"/>
            <w:shd w:val="clear" w:color="auto" w:fill="F3F6F9"/>
            <w:vAlign w:val="center"/>
          </w:tcPr>
          <w:p w14:paraId="69D57A8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Comfort, walking and running</w:t>
            </w:r>
          </w:p>
        </w:tc>
        <w:tc>
          <w:tcPr>
            <w:tcW w:w="4968" w:type="dxa"/>
            <w:shd w:val="clear" w:color="auto" w:fill="F3F6F9"/>
            <w:vAlign w:val="center"/>
          </w:tcPr>
          <w:p w14:paraId="3DCAD01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Comfort cues, fit, everyday use, product claims.</w:t>
            </w:r>
          </w:p>
        </w:tc>
      </w:tr>
      <w:tr w:rsidR="00D345AD" w:rsidRPr="000829A4" w14:paraId="15BE1CE0" w14:textId="77777777">
        <w:trPr>
          <w:jc w:val="center"/>
        </w:trPr>
        <w:tc>
          <w:tcPr>
            <w:tcW w:w="1800" w:type="dxa"/>
            <w:vAlign w:val="center"/>
          </w:tcPr>
          <w:p w14:paraId="3E7EECD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Decathlon</w:t>
            </w:r>
          </w:p>
        </w:tc>
        <w:tc>
          <w:tcPr>
            <w:tcW w:w="3096" w:type="dxa"/>
            <w:vAlign w:val="center"/>
          </w:tcPr>
          <w:p w14:paraId="264FAAB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Accessible sport and activity equipment/apparel/footwear</w:t>
            </w:r>
          </w:p>
        </w:tc>
        <w:tc>
          <w:tcPr>
            <w:tcW w:w="4968" w:type="dxa"/>
            <w:vAlign w:val="center"/>
          </w:tcPr>
          <w:p w14:paraId="5954654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Entry price points, activity-specific range, functional clarity.</w:t>
            </w:r>
          </w:p>
        </w:tc>
      </w:tr>
      <w:tr w:rsidR="00D345AD" w:rsidRPr="000829A4" w14:paraId="17B42C82" w14:textId="77777777">
        <w:trPr>
          <w:jc w:val="center"/>
        </w:trPr>
        <w:tc>
          <w:tcPr>
            <w:tcW w:w="1800" w:type="dxa"/>
            <w:shd w:val="clear" w:color="auto" w:fill="F3F6F9"/>
            <w:vAlign w:val="center"/>
          </w:tcPr>
          <w:p w14:paraId="39668D2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Campus Activewear</w:t>
            </w:r>
          </w:p>
        </w:tc>
        <w:tc>
          <w:tcPr>
            <w:tcW w:w="3096" w:type="dxa"/>
            <w:shd w:val="clear" w:color="auto" w:fill="F3F6F9"/>
            <w:vAlign w:val="center"/>
          </w:tcPr>
          <w:p w14:paraId="2E42BBF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India-focused sports and casual footwear</w:t>
            </w:r>
          </w:p>
        </w:tc>
        <w:tc>
          <w:tcPr>
            <w:tcW w:w="4968" w:type="dxa"/>
            <w:shd w:val="clear" w:color="auto" w:fill="F3F6F9"/>
            <w:vAlign w:val="center"/>
          </w:tcPr>
          <w:p w14:paraId="513274B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Accessible styles, local availability, value perception.</w:t>
            </w:r>
          </w:p>
        </w:tc>
      </w:tr>
      <w:tr w:rsidR="00D345AD" w:rsidRPr="000829A4" w14:paraId="58500A38" w14:textId="77777777">
        <w:trPr>
          <w:jc w:val="center"/>
        </w:trPr>
        <w:tc>
          <w:tcPr>
            <w:tcW w:w="1800" w:type="dxa"/>
            <w:vAlign w:val="center"/>
          </w:tcPr>
          <w:p w14:paraId="761C282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New Balance</w:t>
            </w:r>
          </w:p>
        </w:tc>
        <w:tc>
          <w:tcPr>
            <w:tcW w:w="3096" w:type="dxa"/>
            <w:vAlign w:val="center"/>
          </w:tcPr>
          <w:p w14:paraId="313D517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Running and lifestyle footwear</w:t>
            </w:r>
          </w:p>
        </w:tc>
        <w:tc>
          <w:tcPr>
            <w:tcW w:w="4968" w:type="dxa"/>
            <w:vAlign w:val="center"/>
          </w:tcPr>
          <w:p w14:paraId="186AE7E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Performance credibility, lifestyle silhouettes, India-specific access.</w:t>
            </w:r>
          </w:p>
        </w:tc>
      </w:tr>
      <w:tr w:rsidR="00D345AD" w:rsidRPr="000829A4" w14:paraId="715842C9" w14:textId="77777777">
        <w:trPr>
          <w:jc w:val="center"/>
        </w:trPr>
        <w:tc>
          <w:tcPr>
            <w:tcW w:w="1800" w:type="dxa"/>
            <w:shd w:val="clear" w:color="auto" w:fill="F3F6F9"/>
            <w:vAlign w:val="center"/>
          </w:tcPr>
          <w:p w14:paraId="11A4FD1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BlissClub</w:t>
            </w:r>
          </w:p>
        </w:tc>
        <w:tc>
          <w:tcPr>
            <w:tcW w:w="3096" w:type="dxa"/>
            <w:shd w:val="clear" w:color="auto" w:fill="F3F6F9"/>
            <w:vAlign w:val="center"/>
          </w:tcPr>
          <w:p w14:paraId="018ECAD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Activewear apparel</w:t>
            </w:r>
          </w:p>
        </w:tc>
        <w:tc>
          <w:tcPr>
            <w:tcW w:w="4968" w:type="dxa"/>
            <w:shd w:val="clear" w:color="auto" w:fill="F3F6F9"/>
            <w:vAlign w:val="center"/>
          </w:tcPr>
          <w:p w14:paraId="5E07EE92" w14:textId="5A9B861D"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Apparel fit, comfort, studio/everyday use</w:t>
            </w:r>
            <w:r w:rsidR="000829A4" w:rsidRPr="000829A4">
              <w:rPr>
                <w:rFonts w:asciiTheme="majorHAnsi" w:hAnsiTheme="majorHAnsi" w:cstheme="majorHAnsi"/>
                <w:sz w:val="16"/>
              </w:rPr>
              <w:t>,</w:t>
            </w:r>
            <w:r w:rsidRPr="000829A4">
              <w:rPr>
                <w:rFonts w:asciiTheme="majorHAnsi" w:hAnsiTheme="majorHAnsi" w:cstheme="majorHAnsi"/>
                <w:sz w:val="16"/>
              </w:rPr>
              <w:t xml:space="preserve"> not a direct footwear comparator.</w:t>
            </w:r>
          </w:p>
        </w:tc>
      </w:tr>
    </w:tbl>
    <w:p w14:paraId="620705F7" w14:textId="77777777" w:rsidR="00D345AD" w:rsidRPr="000829A4" w:rsidRDefault="00D345AD">
      <w:pPr>
        <w:spacing w:after="20"/>
        <w:rPr>
          <w:rFonts w:asciiTheme="majorHAnsi" w:hAnsiTheme="majorHAnsi" w:cstheme="majorHAnsi"/>
        </w:rPr>
      </w:pPr>
    </w:p>
    <w:p w14:paraId="427CB2C4" w14:textId="77777777" w:rsidR="00D345AD" w:rsidRPr="000829A4" w:rsidRDefault="00000000">
      <w:pPr>
        <w:rPr>
          <w:rFonts w:asciiTheme="majorHAnsi" w:hAnsiTheme="majorHAnsi" w:cstheme="majorHAnsi"/>
        </w:rPr>
      </w:pPr>
      <w:r w:rsidRPr="000829A4">
        <w:rPr>
          <w:rFonts w:asciiTheme="majorHAnsi" w:hAnsiTheme="majorHAnsi" w:cstheme="majorHAnsi"/>
        </w:rPr>
        <w:t>The SKU audit contains indicative benchmark examples, not a live price or inventory audit. The scorecard is a directional hypothesis tool based on broad positioning cues, not measured Gen Z ratings. Exact model variants, current prices, discounts, and availability require verification before being used as factual claims.</w:t>
      </w:r>
    </w:p>
    <w:p w14:paraId="44E2E178" w14:textId="77777777" w:rsidR="00D345AD" w:rsidRPr="000829A4" w:rsidRDefault="00000000">
      <w:pPr>
        <w:pStyle w:val="Heading2"/>
        <w:rPr>
          <w:rFonts w:cstheme="majorHAnsi"/>
        </w:rPr>
      </w:pPr>
      <w:r w:rsidRPr="000829A4">
        <w:rPr>
          <w:rFonts w:cstheme="majorHAnsi"/>
        </w:rPr>
        <w:t>4.1 Competitive implications</w:t>
      </w:r>
    </w:p>
    <w:p w14:paraId="4EF09162"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Use-case clarity matters: compare products within relevant activity and lifestyle occasions rather than treating every brand as a direct substitute.</w:t>
      </w:r>
    </w:p>
    <w:p w14:paraId="7E063FCE" w14:textId="44CA2C99"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Value should be assessed as a bundle of price, perceived quality, comfort, design, durability, and service</w:t>
      </w:r>
      <w:r w:rsidR="00487DC5" w:rsidRPr="000829A4">
        <w:rPr>
          <w:rFonts w:asciiTheme="majorHAnsi" w:hAnsiTheme="majorHAnsi" w:cstheme="majorHAnsi"/>
        </w:rPr>
        <w:t xml:space="preserve"> - </w:t>
      </w:r>
      <w:r w:rsidRPr="000829A4">
        <w:rPr>
          <w:rFonts w:asciiTheme="majorHAnsi" w:hAnsiTheme="majorHAnsi" w:cstheme="majorHAnsi"/>
        </w:rPr>
        <w:t>not price alone.</w:t>
      </w:r>
    </w:p>
    <w:p w14:paraId="50CAAE8E"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Digital and physical access should be assessed through observed journey performance and actual availability, not assumed from brand scale.</w:t>
      </w:r>
    </w:p>
    <w:p w14:paraId="0A976D02"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lastRenderedPageBreak/>
        <w:t>Differentiation should be expressed in customer-relevant benefits and experiences, then tested for impact on consideration and conversion.</w:t>
      </w:r>
    </w:p>
    <w:p w14:paraId="6E3D9D05" w14:textId="77777777" w:rsidR="00D345AD" w:rsidRPr="000829A4" w:rsidRDefault="00000000">
      <w:pPr>
        <w:pStyle w:val="Heading1"/>
        <w:rPr>
          <w:rFonts w:cstheme="majorHAnsi"/>
        </w:rPr>
      </w:pPr>
      <w:r w:rsidRPr="000829A4">
        <w:rPr>
          <w:rFonts w:cstheme="majorHAnsi"/>
        </w:rPr>
        <w:t>5. Recommended Growth Strategy</w:t>
      </w:r>
    </w:p>
    <w:p w14:paraId="4CBDCAF7" w14:textId="77777777" w:rsidR="00D345AD" w:rsidRPr="000829A4" w:rsidRDefault="00000000">
      <w:pPr>
        <w:rPr>
          <w:rFonts w:asciiTheme="majorHAnsi" w:hAnsiTheme="majorHAnsi" w:cstheme="majorHAnsi"/>
        </w:rPr>
      </w:pPr>
      <w:r w:rsidRPr="000829A4">
        <w:rPr>
          <w:rFonts w:asciiTheme="majorHAnsi" w:hAnsiTheme="majorHAnsi" w:cstheme="majorHAnsi"/>
        </w:rPr>
        <w:t>The proposed strategy is a test-and-learn programme with three mutually reinforcing pillars.</w:t>
      </w:r>
    </w:p>
    <w:p w14:paraId="28205334" w14:textId="737D6B52" w:rsidR="00D345AD" w:rsidRPr="000829A4" w:rsidRDefault="00000000">
      <w:pPr>
        <w:pStyle w:val="Heading2"/>
        <w:rPr>
          <w:rFonts w:cstheme="majorHAnsi"/>
        </w:rPr>
      </w:pPr>
      <w:r w:rsidRPr="000829A4">
        <w:rPr>
          <w:rFonts w:cstheme="majorHAnsi"/>
        </w:rPr>
        <w:t xml:space="preserve">Pillar 1 </w:t>
      </w:r>
      <w:r w:rsidR="00487DC5" w:rsidRPr="000829A4">
        <w:rPr>
          <w:rFonts w:cstheme="majorHAnsi"/>
        </w:rPr>
        <w:t>-</w:t>
      </w:r>
      <w:r w:rsidRPr="000829A4">
        <w:rPr>
          <w:rFonts w:cstheme="majorHAnsi"/>
        </w:rPr>
        <w:t xml:space="preserve"> Make Nike relevant to everyday youth culture</w:t>
      </w:r>
    </w:p>
    <w:p w14:paraId="7B24B3D3" w14:textId="2473EF5D"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Develop locally resonant creative around real activities and occasions</w:t>
      </w:r>
      <w:r w:rsidR="000829A4" w:rsidRPr="000829A4">
        <w:rPr>
          <w:rFonts w:asciiTheme="majorHAnsi" w:hAnsiTheme="majorHAnsi" w:cstheme="majorHAnsi"/>
        </w:rPr>
        <w:t xml:space="preserve"> - </w:t>
      </w:r>
      <w:r w:rsidRPr="000829A4">
        <w:rPr>
          <w:rFonts w:asciiTheme="majorHAnsi" w:hAnsiTheme="majorHAnsi" w:cstheme="majorHAnsi"/>
        </w:rPr>
        <w:t>campus life, running groups, training, everyday movement, and streetwear</w:t>
      </w:r>
      <w:r w:rsidR="000829A4" w:rsidRPr="000829A4">
        <w:rPr>
          <w:rFonts w:asciiTheme="majorHAnsi" w:hAnsiTheme="majorHAnsi" w:cstheme="majorHAnsi"/>
        </w:rPr>
        <w:t xml:space="preserve">, </w:t>
      </w:r>
      <w:r w:rsidRPr="000829A4">
        <w:rPr>
          <w:rFonts w:asciiTheme="majorHAnsi" w:hAnsiTheme="majorHAnsi" w:cstheme="majorHAnsi"/>
        </w:rPr>
        <w:t>without assuming one uniform Gen Z identity.</w:t>
      </w:r>
    </w:p>
    <w:p w14:paraId="4A139FDC" w14:textId="72400176"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Work with a portfolio of relevant local creators and community voices</w:t>
      </w:r>
      <w:r w:rsidR="000829A4" w:rsidRPr="000829A4">
        <w:rPr>
          <w:rFonts w:asciiTheme="majorHAnsi" w:hAnsiTheme="majorHAnsi" w:cstheme="majorHAnsi"/>
        </w:rPr>
        <w:t>,</w:t>
      </w:r>
      <w:r w:rsidRPr="000829A4">
        <w:rPr>
          <w:rFonts w:asciiTheme="majorHAnsi" w:hAnsiTheme="majorHAnsi" w:cstheme="majorHAnsi"/>
        </w:rPr>
        <w:t xml:space="preserve"> select partners based on audience fit, credibility, brand safety, and measurable outcomes.</w:t>
      </w:r>
    </w:p>
    <w:p w14:paraId="6DE89EA6"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Use product storytelling that connects features to customer benefits and real use cases.</w:t>
      </w:r>
    </w:p>
    <w:p w14:paraId="101B3D72" w14:textId="1520C00A" w:rsidR="00D345AD" w:rsidRPr="000829A4" w:rsidRDefault="00000000">
      <w:pPr>
        <w:pStyle w:val="Heading2"/>
        <w:rPr>
          <w:rFonts w:cstheme="majorHAnsi"/>
        </w:rPr>
      </w:pPr>
      <w:r w:rsidRPr="000829A4">
        <w:rPr>
          <w:rFonts w:cstheme="majorHAnsi"/>
        </w:rPr>
        <w:t xml:space="preserve">Pillar 2 </w:t>
      </w:r>
      <w:r w:rsidR="000829A4" w:rsidRPr="000829A4">
        <w:rPr>
          <w:rFonts w:cstheme="majorHAnsi"/>
        </w:rPr>
        <w:t xml:space="preserve">- </w:t>
      </w:r>
      <w:r w:rsidRPr="000829A4">
        <w:rPr>
          <w:rFonts w:cstheme="majorHAnsi"/>
        </w:rPr>
        <w:t>Build participation through communities</w:t>
      </w:r>
    </w:p>
    <w:p w14:paraId="0010EAB3"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Pilot small-format campus and fitness-community activations such as running meetups, training sessions, product trials, and creator-led events.</w:t>
      </w:r>
    </w:p>
    <w:p w14:paraId="240895EB"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Create an opt-in participation journey that connects event discovery, registration, experience, product exploration, and post-event follow-up.</w:t>
      </w:r>
    </w:p>
    <w:p w14:paraId="786C1762"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Measure participation quality and downstream behaviour, not just attendance or social impressions.</w:t>
      </w:r>
    </w:p>
    <w:p w14:paraId="65CA0F39" w14:textId="3C2CFFE0" w:rsidR="00D345AD" w:rsidRPr="000829A4" w:rsidRDefault="00000000">
      <w:pPr>
        <w:pStyle w:val="Heading2"/>
        <w:rPr>
          <w:rFonts w:cstheme="majorHAnsi"/>
        </w:rPr>
      </w:pPr>
      <w:r w:rsidRPr="000829A4">
        <w:rPr>
          <w:rFonts w:cstheme="majorHAnsi"/>
        </w:rPr>
        <w:t xml:space="preserve">Pillar 3 </w:t>
      </w:r>
      <w:r w:rsidR="000829A4" w:rsidRPr="000829A4">
        <w:rPr>
          <w:rFonts w:cstheme="majorHAnsi"/>
        </w:rPr>
        <w:t xml:space="preserve">- </w:t>
      </w:r>
      <w:r w:rsidRPr="000829A4">
        <w:rPr>
          <w:rFonts w:cstheme="majorHAnsi"/>
        </w:rPr>
        <w:t>Reduce discovery-to-purchase friction</w:t>
      </w:r>
    </w:p>
    <w:p w14:paraId="13B6EB08"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Organize digital discovery by use case, fit, product benefit, and price entry point, subject to available product and channel capabilities.</w:t>
      </w:r>
    </w:p>
    <w:p w14:paraId="6B6345E7"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Improve product-page clarity around sizing, intended use, material/feature benefits, delivery, and returns.</w:t>
      </w:r>
    </w:p>
    <w:p w14:paraId="5A7DB15E" w14:textId="34A05D92"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Use retargeting and follow-up only with appropriate consent and privacy controls</w:t>
      </w:r>
      <w:r w:rsidR="000829A4" w:rsidRPr="000829A4">
        <w:rPr>
          <w:rFonts w:asciiTheme="majorHAnsi" w:hAnsiTheme="majorHAnsi" w:cstheme="majorHAnsi"/>
        </w:rPr>
        <w:t>,</w:t>
      </w:r>
      <w:r w:rsidRPr="000829A4">
        <w:rPr>
          <w:rFonts w:asciiTheme="majorHAnsi" w:hAnsiTheme="majorHAnsi" w:cstheme="majorHAnsi"/>
        </w:rPr>
        <w:t xml:space="preserve"> test offers carefully to avoid training customers to wait for discounts.</w:t>
      </w:r>
    </w:p>
    <w:tbl>
      <w:tblPr>
        <w:tblStyle w:val="TableGrid"/>
        <w:tblW w:w="0" w:type="auto"/>
        <w:tblLook w:val="04A0" w:firstRow="1" w:lastRow="0" w:firstColumn="1" w:lastColumn="0" w:noHBand="0" w:noVBand="1"/>
      </w:tblPr>
      <w:tblGrid>
        <w:gridCol w:w="9984"/>
      </w:tblGrid>
      <w:tr w:rsidR="00D345AD" w:rsidRPr="000829A4" w14:paraId="5C3137CE" w14:textId="77777777">
        <w:tc>
          <w:tcPr>
            <w:tcW w:w="9994" w:type="dxa"/>
            <w:shd w:val="clear" w:color="auto" w:fill="E2F0D9"/>
          </w:tcPr>
          <w:p w14:paraId="230A4621" w14:textId="2115EEF1" w:rsidR="00D345AD" w:rsidRPr="000829A4" w:rsidRDefault="00000000">
            <w:pPr>
              <w:keepLines/>
              <w:spacing w:after="40"/>
              <w:rPr>
                <w:rFonts w:asciiTheme="majorHAnsi" w:hAnsiTheme="majorHAnsi" w:cstheme="majorHAnsi"/>
              </w:rPr>
            </w:pPr>
            <w:r w:rsidRPr="000829A4">
              <w:rPr>
                <w:rFonts w:asciiTheme="majorHAnsi" w:hAnsiTheme="majorHAnsi" w:cstheme="majorHAnsi"/>
                <w:b/>
                <w:color w:val="17365D"/>
              </w:rPr>
              <w:t xml:space="preserve">Strategic design principle  </w:t>
            </w:r>
            <w:r w:rsidRPr="000829A4">
              <w:rPr>
                <w:rFonts w:asciiTheme="majorHAnsi" w:hAnsiTheme="majorHAnsi" w:cstheme="majorHAnsi"/>
              </w:rPr>
              <w:t>Treat marketing, community experience, merchandising, and commerce as one customer journey. Optimize for incremental contribution and customer quality</w:t>
            </w:r>
            <w:r w:rsidR="000829A4" w:rsidRPr="000829A4">
              <w:rPr>
                <w:rFonts w:asciiTheme="majorHAnsi" w:hAnsiTheme="majorHAnsi" w:cstheme="majorHAnsi"/>
              </w:rPr>
              <w:t xml:space="preserve"> </w:t>
            </w:r>
            <w:r w:rsidRPr="000829A4">
              <w:rPr>
                <w:rFonts w:asciiTheme="majorHAnsi" w:hAnsiTheme="majorHAnsi" w:cstheme="majorHAnsi"/>
              </w:rPr>
              <w:t>not reach or engagement in isolation.</w:t>
            </w:r>
          </w:p>
        </w:tc>
      </w:tr>
    </w:tbl>
    <w:p w14:paraId="6736AF2D" w14:textId="77777777" w:rsidR="00D345AD" w:rsidRPr="000829A4" w:rsidRDefault="00D345AD">
      <w:pPr>
        <w:spacing w:after="20"/>
        <w:rPr>
          <w:rFonts w:asciiTheme="majorHAnsi" w:hAnsiTheme="majorHAnsi" w:cstheme="majorHAnsi"/>
        </w:rPr>
      </w:pPr>
    </w:p>
    <w:p w14:paraId="37EB4D48" w14:textId="77777777" w:rsidR="00D345AD" w:rsidRPr="000829A4" w:rsidRDefault="00000000">
      <w:pPr>
        <w:pStyle w:val="Heading1"/>
        <w:rPr>
          <w:rFonts w:cstheme="majorHAnsi"/>
        </w:rPr>
      </w:pPr>
      <w:r w:rsidRPr="000829A4">
        <w:rPr>
          <w:rFonts w:cstheme="majorHAnsi"/>
        </w:rPr>
        <w:t>6. Go-to-Market &amp; Implementation Roadmap</w:t>
      </w:r>
    </w:p>
    <w:tbl>
      <w:tblPr>
        <w:tblStyle w:val="TableGrid"/>
        <w:tblW w:w="0" w:type="auto"/>
        <w:jc w:val="center"/>
        <w:tblLook w:val="04A0" w:firstRow="1" w:lastRow="0" w:firstColumn="1" w:lastColumn="0" w:noHBand="0" w:noVBand="1"/>
      </w:tblPr>
      <w:tblGrid>
        <w:gridCol w:w="1584"/>
        <w:gridCol w:w="1224"/>
        <w:gridCol w:w="4752"/>
        <w:gridCol w:w="2376"/>
      </w:tblGrid>
      <w:tr w:rsidR="00D345AD" w:rsidRPr="000829A4" w14:paraId="0E2B1AE0" w14:textId="77777777">
        <w:trPr>
          <w:jc w:val="center"/>
        </w:trPr>
        <w:tc>
          <w:tcPr>
            <w:tcW w:w="1584" w:type="dxa"/>
            <w:shd w:val="clear" w:color="auto" w:fill="17365D"/>
            <w:vAlign w:val="center"/>
          </w:tcPr>
          <w:p w14:paraId="5900874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Phase</w:t>
            </w:r>
          </w:p>
        </w:tc>
        <w:tc>
          <w:tcPr>
            <w:tcW w:w="1224" w:type="dxa"/>
            <w:shd w:val="clear" w:color="auto" w:fill="17365D"/>
            <w:vAlign w:val="center"/>
          </w:tcPr>
          <w:p w14:paraId="045219D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Timing</w:t>
            </w:r>
          </w:p>
        </w:tc>
        <w:tc>
          <w:tcPr>
            <w:tcW w:w="4752" w:type="dxa"/>
            <w:shd w:val="clear" w:color="auto" w:fill="17365D"/>
            <w:vAlign w:val="center"/>
          </w:tcPr>
          <w:p w14:paraId="5CB51FC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Key actions</w:t>
            </w:r>
          </w:p>
        </w:tc>
        <w:tc>
          <w:tcPr>
            <w:tcW w:w="2376" w:type="dxa"/>
            <w:shd w:val="clear" w:color="auto" w:fill="17365D"/>
            <w:vAlign w:val="center"/>
          </w:tcPr>
          <w:p w14:paraId="2B91A9C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Decision gate</w:t>
            </w:r>
          </w:p>
        </w:tc>
      </w:tr>
      <w:tr w:rsidR="00D345AD" w:rsidRPr="000829A4" w14:paraId="26D9C352" w14:textId="77777777">
        <w:trPr>
          <w:jc w:val="center"/>
        </w:trPr>
        <w:tc>
          <w:tcPr>
            <w:tcW w:w="1584" w:type="dxa"/>
            <w:vAlign w:val="center"/>
          </w:tcPr>
          <w:p w14:paraId="26B2C63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 Validate</w:t>
            </w:r>
          </w:p>
        </w:tc>
        <w:tc>
          <w:tcPr>
            <w:tcW w:w="1224" w:type="dxa"/>
            <w:vAlign w:val="center"/>
          </w:tcPr>
          <w:p w14:paraId="336AE05B" w14:textId="286866C4"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Weeks 1</w:t>
            </w:r>
            <w:r w:rsidR="00487DC5" w:rsidRPr="000829A4">
              <w:rPr>
                <w:rFonts w:asciiTheme="majorHAnsi" w:hAnsiTheme="majorHAnsi" w:cstheme="majorHAnsi"/>
                <w:sz w:val="16"/>
              </w:rPr>
              <w:t xml:space="preserve"> - </w:t>
            </w:r>
            <w:r w:rsidRPr="000829A4">
              <w:rPr>
                <w:rFonts w:asciiTheme="majorHAnsi" w:hAnsiTheme="majorHAnsi" w:cstheme="majorHAnsi"/>
                <w:sz w:val="16"/>
              </w:rPr>
              <w:t>4</w:t>
            </w:r>
          </w:p>
        </w:tc>
        <w:tc>
          <w:tcPr>
            <w:tcW w:w="4752" w:type="dxa"/>
            <w:vAlign w:val="center"/>
          </w:tcPr>
          <w:p w14:paraId="262DDBA0" w14:textId="629F998B"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Consumer interviews/survey design</w:t>
            </w:r>
            <w:r w:rsidR="000829A4" w:rsidRPr="000829A4">
              <w:rPr>
                <w:rFonts w:asciiTheme="majorHAnsi" w:hAnsiTheme="majorHAnsi" w:cstheme="majorHAnsi"/>
                <w:sz w:val="16"/>
              </w:rPr>
              <w:t>,</w:t>
            </w:r>
            <w:r w:rsidRPr="000829A4">
              <w:rPr>
                <w:rFonts w:asciiTheme="majorHAnsi" w:hAnsiTheme="majorHAnsi" w:cstheme="majorHAnsi"/>
                <w:sz w:val="16"/>
              </w:rPr>
              <w:t xml:space="preserve"> segment hypotheses</w:t>
            </w:r>
            <w:r w:rsidR="000829A4" w:rsidRPr="000829A4">
              <w:rPr>
                <w:rFonts w:asciiTheme="majorHAnsi" w:hAnsiTheme="majorHAnsi" w:cstheme="majorHAnsi"/>
                <w:sz w:val="16"/>
              </w:rPr>
              <w:t>,</w:t>
            </w:r>
            <w:r w:rsidRPr="000829A4">
              <w:rPr>
                <w:rFonts w:asciiTheme="majorHAnsi" w:hAnsiTheme="majorHAnsi" w:cstheme="majorHAnsi"/>
                <w:sz w:val="16"/>
              </w:rPr>
              <w:t xml:space="preserve"> competitor SKU and journey spot-check</w:t>
            </w:r>
            <w:r w:rsidR="000829A4" w:rsidRPr="000829A4">
              <w:rPr>
                <w:rFonts w:asciiTheme="majorHAnsi" w:hAnsiTheme="majorHAnsi" w:cstheme="majorHAnsi"/>
                <w:sz w:val="16"/>
              </w:rPr>
              <w:t>,</w:t>
            </w:r>
            <w:r w:rsidRPr="000829A4">
              <w:rPr>
                <w:rFonts w:asciiTheme="majorHAnsi" w:hAnsiTheme="majorHAnsi" w:cstheme="majorHAnsi"/>
                <w:sz w:val="16"/>
              </w:rPr>
              <w:t xml:space="preserve"> baseline KPI definitions</w:t>
            </w:r>
            <w:r w:rsidR="000829A4" w:rsidRPr="000829A4">
              <w:rPr>
                <w:rFonts w:asciiTheme="majorHAnsi" w:hAnsiTheme="majorHAnsi" w:cstheme="majorHAnsi"/>
                <w:sz w:val="16"/>
              </w:rPr>
              <w:t>,</w:t>
            </w:r>
            <w:r w:rsidRPr="000829A4">
              <w:rPr>
                <w:rFonts w:asciiTheme="majorHAnsi" w:hAnsiTheme="majorHAnsi" w:cstheme="majorHAnsi"/>
                <w:sz w:val="16"/>
              </w:rPr>
              <w:t xml:space="preserve"> legal/privacy and brand-safety review.</w:t>
            </w:r>
          </w:p>
        </w:tc>
        <w:tc>
          <w:tcPr>
            <w:tcW w:w="2376" w:type="dxa"/>
            <w:vAlign w:val="center"/>
          </w:tcPr>
          <w:p w14:paraId="484F576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Confirm priority use cases, target cohort, measurement plan, and pilot hypotheses.</w:t>
            </w:r>
          </w:p>
        </w:tc>
      </w:tr>
      <w:tr w:rsidR="00D345AD" w:rsidRPr="000829A4" w14:paraId="6FD6AA73" w14:textId="77777777">
        <w:trPr>
          <w:jc w:val="center"/>
        </w:trPr>
        <w:tc>
          <w:tcPr>
            <w:tcW w:w="1584" w:type="dxa"/>
            <w:shd w:val="clear" w:color="auto" w:fill="F3F6F9"/>
            <w:vAlign w:val="center"/>
          </w:tcPr>
          <w:p w14:paraId="0B26E8A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 Pilot</w:t>
            </w:r>
          </w:p>
        </w:tc>
        <w:tc>
          <w:tcPr>
            <w:tcW w:w="1224" w:type="dxa"/>
            <w:shd w:val="clear" w:color="auto" w:fill="F3F6F9"/>
            <w:vAlign w:val="center"/>
          </w:tcPr>
          <w:p w14:paraId="6EB7E332" w14:textId="2443ECA1"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Months 2</w:t>
            </w:r>
            <w:r w:rsidR="00487DC5" w:rsidRPr="000829A4">
              <w:rPr>
                <w:rFonts w:asciiTheme="majorHAnsi" w:hAnsiTheme="majorHAnsi" w:cstheme="majorHAnsi"/>
                <w:sz w:val="16"/>
              </w:rPr>
              <w:t xml:space="preserve"> - </w:t>
            </w:r>
            <w:r w:rsidRPr="000829A4">
              <w:rPr>
                <w:rFonts w:asciiTheme="majorHAnsi" w:hAnsiTheme="majorHAnsi" w:cstheme="majorHAnsi"/>
                <w:sz w:val="16"/>
              </w:rPr>
              <w:t>3</w:t>
            </w:r>
          </w:p>
        </w:tc>
        <w:tc>
          <w:tcPr>
            <w:tcW w:w="4752" w:type="dxa"/>
            <w:shd w:val="clear" w:color="auto" w:fill="F3F6F9"/>
            <w:vAlign w:val="center"/>
          </w:tcPr>
          <w:p w14:paraId="1F93EC87" w14:textId="65E5ECEE"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Run a limited set of creator/community and digital journey tests in selected locations/channels</w:t>
            </w:r>
            <w:r w:rsidR="000829A4" w:rsidRPr="000829A4">
              <w:rPr>
                <w:rFonts w:asciiTheme="majorHAnsi" w:hAnsiTheme="majorHAnsi" w:cstheme="majorHAnsi"/>
                <w:sz w:val="16"/>
              </w:rPr>
              <w:t>,</w:t>
            </w:r>
            <w:r w:rsidRPr="000829A4">
              <w:rPr>
                <w:rFonts w:asciiTheme="majorHAnsi" w:hAnsiTheme="majorHAnsi" w:cstheme="majorHAnsi"/>
                <w:sz w:val="16"/>
              </w:rPr>
              <w:t xml:space="preserve"> use consistent creative and tracking.</w:t>
            </w:r>
          </w:p>
        </w:tc>
        <w:tc>
          <w:tcPr>
            <w:tcW w:w="2376" w:type="dxa"/>
            <w:shd w:val="clear" w:color="auto" w:fill="F3F6F9"/>
            <w:vAlign w:val="center"/>
          </w:tcPr>
          <w:p w14:paraId="08E5B82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Compare qualified traffic, conversion, incremental orders, cost per acquisition, and contribution.</w:t>
            </w:r>
          </w:p>
        </w:tc>
      </w:tr>
      <w:tr w:rsidR="00D345AD" w:rsidRPr="000829A4" w14:paraId="3BF2AB8C" w14:textId="77777777">
        <w:trPr>
          <w:jc w:val="center"/>
        </w:trPr>
        <w:tc>
          <w:tcPr>
            <w:tcW w:w="1584" w:type="dxa"/>
            <w:vAlign w:val="center"/>
          </w:tcPr>
          <w:p w14:paraId="1955E86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3. Optimize</w:t>
            </w:r>
          </w:p>
        </w:tc>
        <w:tc>
          <w:tcPr>
            <w:tcW w:w="1224" w:type="dxa"/>
            <w:vAlign w:val="center"/>
          </w:tcPr>
          <w:p w14:paraId="0FC17D2E" w14:textId="22F31734"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Months 4</w:t>
            </w:r>
            <w:r w:rsidR="00487DC5" w:rsidRPr="000829A4">
              <w:rPr>
                <w:rFonts w:asciiTheme="majorHAnsi" w:hAnsiTheme="majorHAnsi" w:cstheme="majorHAnsi"/>
                <w:sz w:val="16"/>
              </w:rPr>
              <w:t xml:space="preserve"> - </w:t>
            </w:r>
            <w:r w:rsidRPr="000829A4">
              <w:rPr>
                <w:rFonts w:asciiTheme="majorHAnsi" w:hAnsiTheme="majorHAnsi" w:cstheme="majorHAnsi"/>
                <w:sz w:val="16"/>
              </w:rPr>
              <w:t>6</w:t>
            </w:r>
          </w:p>
        </w:tc>
        <w:tc>
          <w:tcPr>
            <w:tcW w:w="4752" w:type="dxa"/>
            <w:vAlign w:val="center"/>
          </w:tcPr>
          <w:p w14:paraId="0CEC0550" w14:textId="07F24F08"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Refine audience, creative, product landing pages, event format, and channel mix</w:t>
            </w:r>
            <w:r w:rsidR="000829A4" w:rsidRPr="000829A4">
              <w:rPr>
                <w:rFonts w:asciiTheme="majorHAnsi" w:hAnsiTheme="majorHAnsi" w:cstheme="majorHAnsi"/>
                <w:sz w:val="16"/>
              </w:rPr>
              <w:t>,</w:t>
            </w:r>
            <w:r w:rsidRPr="000829A4">
              <w:rPr>
                <w:rFonts w:asciiTheme="majorHAnsi" w:hAnsiTheme="majorHAnsi" w:cstheme="majorHAnsi"/>
                <w:sz w:val="16"/>
              </w:rPr>
              <w:t xml:space="preserve"> discontinue low-performing tests.</w:t>
            </w:r>
          </w:p>
        </w:tc>
        <w:tc>
          <w:tcPr>
            <w:tcW w:w="2376" w:type="dxa"/>
            <w:vAlign w:val="center"/>
          </w:tcPr>
          <w:p w14:paraId="559478FF"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Require a credible improvement versus baseline/control and acceptable unit economics.</w:t>
            </w:r>
          </w:p>
        </w:tc>
      </w:tr>
      <w:tr w:rsidR="00D345AD" w:rsidRPr="000829A4" w14:paraId="26083D1E" w14:textId="77777777">
        <w:trPr>
          <w:jc w:val="center"/>
        </w:trPr>
        <w:tc>
          <w:tcPr>
            <w:tcW w:w="1584" w:type="dxa"/>
            <w:shd w:val="clear" w:color="auto" w:fill="F3F6F9"/>
            <w:vAlign w:val="center"/>
          </w:tcPr>
          <w:p w14:paraId="67ABFCB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4. Scale selectively</w:t>
            </w:r>
          </w:p>
        </w:tc>
        <w:tc>
          <w:tcPr>
            <w:tcW w:w="1224" w:type="dxa"/>
            <w:shd w:val="clear" w:color="auto" w:fill="F3F6F9"/>
            <w:vAlign w:val="center"/>
          </w:tcPr>
          <w:p w14:paraId="4C09DC2E" w14:textId="1220AE65"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Months 7</w:t>
            </w:r>
            <w:r w:rsidR="00487DC5" w:rsidRPr="000829A4">
              <w:rPr>
                <w:rFonts w:asciiTheme="majorHAnsi" w:hAnsiTheme="majorHAnsi" w:cstheme="majorHAnsi"/>
                <w:sz w:val="16"/>
              </w:rPr>
              <w:t xml:space="preserve"> - </w:t>
            </w:r>
            <w:r w:rsidRPr="000829A4">
              <w:rPr>
                <w:rFonts w:asciiTheme="majorHAnsi" w:hAnsiTheme="majorHAnsi" w:cstheme="majorHAnsi"/>
                <w:sz w:val="16"/>
              </w:rPr>
              <w:t>12</w:t>
            </w:r>
          </w:p>
        </w:tc>
        <w:tc>
          <w:tcPr>
            <w:tcW w:w="4752" w:type="dxa"/>
            <w:shd w:val="clear" w:color="auto" w:fill="F3F6F9"/>
            <w:vAlign w:val="center"/>
          </w:tcPr>
          <w:p w14:paraId="3150AE4C" w14:textId="14CC12E3"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Expand only validated combinations</w:t>
            </w:r>
            <w:r w:rsidR="000829A4" w:rsidRPr="000829A4">
              <w:rPr>
                <w:rFonts w:asciiTheme="majorHAnsi" w:hAnsiTheme="majorHAnsi" w:cstheme="majorHAnsi"/>
                <w:sz w:val="16"/>
              </w:rPr>
              <w:t>,</w:t>
            </w:r>
            <w:r w:rsidRPr="000829A4">
              <w:rPr>
                <w:rFonts w:asciiTheme="majorHAnsi" w:hAnsiTheme="majorHAnsi" w:cstheme="majorHAnsi"/>
                <w:sz w:val="16"/>
              </w:rPr>
              <w:t xml:space="preserve"> maintain holdouts where feasible</w:t>
            </w:r>
            <w:r w:rsidR="000829A4" w:rsidRPr="000829A4">
              <w:rPr>
                <w:rFonts w:asciiTheme="majorHAnsi" w:hAnsiTheme="majorHAnsi" w:cstheme="majorHAnsi"/>
                <w:sz w:val="16"/>
              </w:rPr>
              <w:t>,</w:t>
            </w:r>
            <w:r w:rsidRPr="000829A4">
              <w:rPr>
                <w:rFonts w:asciiTheme="majorHAnsi" w:hAnsiTheme="majorHAnsi" w:cstheme="majorHAnsi"/>
                <w:sz w:val="16"/>
              </w:rPr>
              <w:t xml:space="preserve"> track repeat purchase, returns, and contribution.</w:t>
            </w:r>
          </w:p>
        </w:tc>
        <w:tc>
          <w:tcPr>
            <w:tcW w:w="2376" w:type="dxa"/>
            <w:shd w:val="clear" w:color="auto" w:fill="F3F6F9"/>
            <w:vAlign w:val="center"/>
          </w:tcPr>
          <w:p w14:paraId="7F3B6E6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Scale, revise, or stop based on sustained incremental contribution and operational readiness.</w:t>
            </w:r>
          </w:p>
        </w:tc>
      </w:tr>
    </w:tbl>
    <w:p w14:paraId="251D6292" w14:textId="77777777" w:rsidR="00D345AD" w:rsidRPr="000829A4" w:rsidRDefault="00D345AD">
      <w:pPr>
        <w:spacing w:after="20"/>
        <w:rPr>
          <w:rFonts w:asciiTheme="majorHAnsi" w:hAnsiTheme="majorHAnsi" w:cstheme="majorHAnsi"/>
        </w:rPr>
      </w:pPr>
    </w:p>
    <w:p w14:paraId="735B3721" w14:textId="77777777" w:rsidR="00D345AD" w:rsidRPr="000829A4" w:rsidRDefault="00000000">
      <w:pPr>
        <w:pStyle w:val="Heading2"/>
        <w:rPr>
          <w:rFonts w:cstheme="majorHAnsi"/>
        </w:rPr>
      </w:pPr>
      <w:r w:rsidRPr="000829A4">
        <w:rPr>
          <w:rFonts w:cstheme="majorHAnsi"/>
        </w:rPr>
        <w:t>6.1 Proposed workstreams</w:t>
      </w:r>
    </w:p>
    <w:tbl>
      <w:tblPr>
        <w:tblStyle w:val="TableGrid"/>
        <w:tblW w:w="0" w:type="auto"/>
        <w:jc w:val="center"/>
        <w:tblLook w:val="04A0" w:firstRow="1" w:lastRow="0" w:firstColumn="1" w:lastColumn="0" w:noHBand="0" w:noVBand="1"/>
      </w:tblPr>
      <w:tblGrid>
        <w:gridCol w:w="2376"/>
        <w:gridCol w:w="3168"/>
        <w:gridCol w:w="4320"/>
      </w:tblGrid>
      <w:tr w:rsidR="00D345AD" w:rsidRPr="000829A4" w14:paraId="58838DCA" w14:textId="77777777">
        <w:trPr>
          <w:jc w:val="center"/>
        </w:trPr>
        <w:tc>
          <w:tcPr>
            <w:tcW w:w="2376" w:type="dxa"/>
            <w:shd w:val="clear" w:color="auto" w:fill="17365D"/>
            <w:vAlign w:val="center"/>
          </w:tcPr>
          <w:p w14:paraId="0D5EE0C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Workstream</w:t>
            </w:r>
          </w:p>
        </w:tc>
        <w:tc>
          <w:tcPr>
            <w:tcW w:w="3168" w:type="dxa"/>
            <w:shd w:val="clear" w:color="auto" w:fill="17365D"/>
            <w:vAlign w:val="center"/>
          </w:tcPr>
          <w:p w14:paraId="0BE1180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Accountability (proposed)</w:t>
            </w:r>
          </w:p>
        </w:tc>
        <w:tc>
          <w:tcPr>
            <w:tcW w:w="4320" w:type="dxa"/>
            <w:shd w:val="clear" w:color="auto" w:fill="17365D"/>
            <w:vAlign w:val="center"/>
          </w:tcPr>
          <w:p w14:paraId="55632B5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Deliverable</w:t>
            </w:r>
          </w:p>
        </w:tc>
      </w:tr>
      <w:tr w:rsidR="00D345AD" w:rsidRPr="000829A4" w14:paraId="7E566057" w14:textId="77777777">
        <w:trPr>
          <w:jc w:val="center"/>
        </w:trPr>
        <w:tc>
          <w:tcPr>
            <w:tcW w:w="2376" w:type="dxa"/>
            <w:vAlign w:val="center"/>
          </w:tcPr>
          <w:p w14:paraId="49E353A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Consumer insight</w:t>
            </w:r>
          </w:p>
        </w:tc>
        <w:tc>
          <w:tcPr>
            <w:tcW w:w="3168" w:type="dxa"/>
            <w:vAlign w:val="center"/>
          </w:tcPr>
          <w:p w14:paraId="310CFC4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Strategy / consumer insights</w:t>
            </w:r>
          </w:p>
        </w:tc>
        <w:tc>
          <w:tcPr>
            <w:tcW w:w="4320" w:type="dxa"/>
            <w:vAlign w:val="center"/>
          </w:tcPr>
          <w:p w14:paraId="5A36AB4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Validated segment and need-state view</w:t>
            </w:r>
          </w:p>
        </w:tc>
      </w:tr>
      <w:tr w:rsidR="00D345AD" w:rsidRPr="000829A4" w14:paraId="4920A08E" w14:textId="77777777">
        <w:trPr>
          <w:jc w:val="center"/>
        </w:trPr>
        <w:tc>
          <w:tcPr>
            <w:tcW w:w="2376" w:type="dxa"/>
            <w:shd w:val="clear" w:color="auto" w:fill="F3F6F9"/>
            <w:vAlign w:val="center"/>
          </w:tcPr>
          <w:p w14:paraId="52BAF2B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lastRenderedPageBreak/>
              <w:t>Brand and creator activation</w:t>
            </w:r>
          </w:p>
        </w:tc>
        <w:tc>
          <w:tcPr>
            <w:tcW w:w="3168" w:type="dxa"/>
            <w:shd w:val="clear" w:color="auto" w:fill="F3F6F9"/>
            <w:vAlign w:val="center"/>
          </w:tcPr>
          <w:p w14:paraId="68FE8CA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Marketing / partnerships</w:t>
            </w:r>
          </w:p>
        </w:tc>
        <w:tc>
          <w:tcPr>
            <w:tcW w:w="4320" w:type="dxa"/>
            <w:shd w:val="clear" w:color="auto" w:fill="F3F6F9"/>
            <w:vAlign w:val="center"/>
          </w:tcPr>
          <w:p w14:paraId="0865EC2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Creative platform, creator criteria, campaign assets</w:t>
            </w:r>
          </w:p>
        </w:tc>
      </w:tr>
      <w:tr w:rsidR="00D345AD" w:rsidRPr="000829A4" w14:paraId="3A5F1E8C" w14:textId="77777777">
        <w:trPr>
          <w:jc w:val="center"/>
        </w:trPr>
        <w:tc>
          <w:tcPr>
            <w:tcW w:w="2376" w:type="dxa"/>
            <w:vAlign w:val="center"/>
          </w:tcPr>
          <w:p w14:paraId="03BC370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Community pilots</w:t>
            </w:r>
          </w:p>
        </w:tc>
        <w:tc>
          <w:tcPr>
            <w:tcW w:w="3168" w:type="dxa"/>
            <w:vAlign w:val="center"/>
          </w:tcPr>
          <w:p w14:paraId="6697363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Local marketing / community partners</w:t>
            </w:r>
          </w:p>
        </w:tc>
        <w:tc>
          <w:tcPr>
            <w:tcW w:w="4320" w:type="dxa"/>
            <w:vAlign w:val="center"/>
          </w:tcPr>
          <w:p w14:paraId="5208E5A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Pilot calendar, event playbook, participation funnel</w:t>
            </w:r>
          </w:p>
        </w:tc>
      </w:tr>
      <w:tr w:rsidR="00D345AD" w:rsidRPr="000829A4" w14:paraId="2A9229E8" w14:textId="77777777">
        <w:trPr>
          <w:jc w:val="center"/>
        </w:trPr>
        <w:tc>
          <w:tcPr>
            <w:tcW w:w="2376" w:type="dxa"/>
            <w:shd w:val="clear" w:color="auto" w:fill="F3F6F9"/>
            <w:vAlign w:val="center"/>
          </w:tcPr>
          <w:p w14:paraId="6E23A36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Digital commerce journey</w:t>
            </w:r>
          </w:p>
        </w:tc>
        <w:tc>
          <w:tcPr>
            <w:tcW w:w="3168" w:type="dxa"/>
            <w:shd w:val="clear" w:color="auto" w:fill="F3F6F9"/>
            <w:vAlign w:val="center"/>
          </w:tcPr>
          <w:p w14:paraId="68403EEB"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E-commerce / UX / merchandising</w:t>
            </w:r>
          </w:p>
        </w:tc>
        <w:tc>
          <w:tcPr>
            <w:tcW w:w="4320" w:type="dxa"/>
            <w:shd w:val="clear" w:color="auto" w:fill="F3F6F9"/>
            <w:vAlign w:val="center"/>
          </w:tcPr>
          <w:p w14:paraId="03BAA68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Use-case navigation, product-page improvements, experiment backlog</w:t>
            </w:r>
          </w:p>
        </w:tc>
      </w:tr>
      <w:tr w:rsidR="00D345AD" w:rsidRPr="000829A4" w14:paraId="0656EAFD" w14:textId="77777777">
        <w:trPr>
          <w:jc w:val="center"/>
        </w:trPr>
        <w:tc>
          <w:tcPr>
            <w:tcW w:w="2376" w:type="dxa"/>
            <w:vAlign w:val="center"/>
          </w:tcPr>
          <w:p w14:paraId="445E85F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Measurement and economics</w:t>
            </w:r>
          </w:p>
        </w:tc>
        <w:tc>
          <w:tcPr>
            <w:tcW w:w="3168" w:type="dxa"/>
            <w:vAlign w:val="center"/>
          </w:tcPr>
          <w:p w14:paraId="7946490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Analytics / finance</w:t>
            </w:r>
          </w:p>
        </w:tc>
        <w:tc>
          <w:tcPr>
            <w:tcW w:w="4320" w:type="dxa"/>
            <w:vAlign w:val="center"/>
          </w:tcPr>
          <w:p w14:paraId="186C1B1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KPI dashboard, experiment design, contribution model</w:t>
            </w:r>
          </w:p>
        </w:tc>
      </w:tr>
      <w:tr w:rsidR="00D345AD" w:rsidRPr="000829A4" w14:paraId="519C0265" w14:textId="77777777">
        <w:trPr>
          <w:jc w:val="center"/>
        </w:trPr>
        <w:tc>
          <w:tcPr>
            <w:tcW w:w="2376" w:type="dxa"/>
            <w:shd w:val="clear" w:color="auto" w:fill="F3F6F9"/>
            <w:vAlign w:val="center"/>
          </w:tcPr>
          <w:p w14:paraId="4F81ABE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Governance</w:t>
            </w:r>
          </w:p>
        </w:tc>
        <w:tc>
          <w:tcPr>
            <w:tcW w:w="3168" w:type="dxa"/>
            <w:shd w:val="clear" w:color="auto" w:fill="F3F6F9"/>
            <w:vAlign w:val="center"/>
          </w:tcPr>
          <w:p w14:paraId="3CAC750A"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Cross-functional lead</w:t>
            </w:r>
          </w:p>
        </w:tc>
        <w:tc>
          <w:tcPr>
            <w:tcW w:w="4320" w:type="dxa"/>
            <w:shd w:val="clear" w:color="auto" w:fill="F3F6F9"/>
            <w:vAlign w:val="center"/>
          </w:tcPr>
          <w:p w14:paraId="3F12DC5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Weekly review, risk log, stage-gate decisions</w:t>
            </w:r>
          </w:p>
        </w:tc>
      </w:tr>
    </w:tbl>
    <w:p w14:paraId="6914C224" w14:textId="77777777" w:rsidR="00D345AD" w:rsidRPr="000829A4" w:rsidRDefault="00D345AD">
      <w:pPr>
        <w:spacing w:after="20"/>
        <w:rPr>
          <w:rFonts w:asciiTheme="majorHAnsi" w:hAnsiTheme="majorHAnsi" w:cstheme="majorHAnsi"/>
        </w:rPr>
      </w:pPr>
    </w:p>
    <w:p w14:paraId="5C68DD08" w14:textId="77777777" w:rsidR="00D345AD" w:rsidRPr="000829A4" w:rsidRDefault="00000000">
      <w:pPr>
        <w:pStyle w:val="Heading1"/>
        <w:rPr>
          <w:rFonts w:cstheme="majorHAnsi"/>
        </w:rPr>
      </w:pPr>
      <w:r w:rsidRPr="000829A4">
        <w:rPr>
          <w:rFonts w:cstheme="majorHAnsi"/>
        </w:rPr>
        <w:t>7. Financial Assessment</w:t>
      </w:r>
    </w:p>
    <w:p w14:paraId="3DF462B5" w14:textId="55649165" w:rsidR="00D345AD" w:rsidRPr="000829A4" w:rsidRDefault="00000000">
      <w:pPr>
        <w:rPr>
          <w:rFonts w:asciiTheme="majorHAnsi" w:hAnsiTheme="majorHAnsi" w:cstheme="majorHAnsi"/>
        </w:rPr>
      </w:pPr>
      <w:r w:rsidRPr="000829A4">
        <w:rPr>
          <w:rFonts w:asciiTheme="majorHAnsi" w:hAnsiTheme="majorHAnsi" w:cstheme="majorHAnsi"/>
        </w:rPr>
        <w:t xml:space="preserve">The companion Excel model translates a hypothetical campaign funnel into orders, revenue, contribution, and campaign recovery. The model uses editable assumptions and three </w:t>
      </w:r>
      <w:proofErr w:type="gramStart"/>
      <w:r w:rsidRPr="000829A4">
        <w:rPr>
          <w:rFonts w:asciiTheme="majorHAnsi" w:hAnsiTheme="majorHAnsi" w:cstheme="majorHAnsi"/>
        </w:rPr>
        <w:t>scenarios</w:t>
      </w:r>
      <w:r w:rsidR="000829A4" w:rsidRPr="000829A4">
        <w:rPr>
          <w:rFonts w:asciiTheme="majorHAnsi" w:hAnsiTheme="majorHAnsi" w:cstheme="majorHAnsi"/>
        </w:rPr>
        <w:t>,</w:t>
      </w:r>
      <w:proofErr w:type="gramEnd"/>
      <w:r w:rsidRPr="000829A4">
        <w:rPr>
          <w:rFonts w:asciiTheme="majorHAnsi" w:hAnsiTheme="majorHAnsi" w:cstheme="majorHAnsi"/>
        </w:rPr>
        <w:t xml:space="preserve"> outputs are illustrative and do not represent Nike guidance.</w:t>
      </w:r>
    </w:p>
    <w:p w14:paraId="637B9BAF" w14:textId="77777777" w:rsidR="00D345AD" w:rsidRPr="000829A4" w:rsidRDefault="00000000">
      <w:pPr>
        <w:pStyle w:val="Heading2"/>
        <w:rPr>
          <w:rFonts w:cstheme="majorHAnsi"/>
        </w:rPr>
      </w:pPr>
      <w:r w:rsidRPr="000829A4">
        <w:rPr>
          <w:rFonts w:cstheme="majorHAnsi"/>
        </w:rPr>
        <w:t>7.1 Base-case assumptions</w:t>
      </w:r>
    </w:p>
    <w:tbl>
      <w:tblPr>
        <w:tblStyle w:val="TableGrid"/>
        <w:tblW w:w="0" w:type="auto"/>
        <w:jc w:val="center"/>
        <w:tblLook w:val="04A0" w:firstRow="1" w:lastRow="0" w:firstColumn="1" w:lastColumn="0" w:noHBand="0" w:noVBand="1"/>
      </w:tblPr>
      <w:tblGrid>
        <w:gridCol w:w="2880"/>
        <w:gridCol w:w="2232"/>
        <w:gridCol w:w="4680"/>
      </w:tblGrid>
      <w:tr w:rsidR="00D345AD" w:rsidRPr="000829A4" w14:paraId="5B74D1A4" w14:textId="77777777">
        <w:trPr>
          <w:jc w:val="center"/>
        </w:trPr>
        <w:tc>
          <w:tcPr>
            <w:tcW w:w="2880" w:type="dxa"/>
            <w:shd w:val="clear" w:color="auto" w:fill="17365D"/>
            <w:vAlign w:val="center"/>
          </w:tcPr>
          <w:p w14:paraId="181071E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Driver</w:t>
            </w:r>
          </w:p>
        </w:tc>
        <w:tc>
          <w:tcPr>
            <w:tcW w:w="2232" w:type="dxa"/>
            <w:shd w:val="clear" w:color="auto" w:fill="17365D"/>
            <w:vAlign w:val="center"/>
          </w:tcPr>
          <w:p w14:paraId="49EF536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Base assumption</w:t>
            </w:r>
          </w:p>
        </w:tc>
        <w:tc>
          <w:tcPr>
            <w:tcW w:w="4680" w:type="dxa"/>
            <w:shd w:val="clear" w:color="auto" w:fill="17365D"/>
            <w:vAlign w:val="center"/>
          </w:tcPr>
          <w:p w14:paraId="7D5FB37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Meaning</w:t>
            </w:r>
          </w:p>
        </w:tc>
      </w:tr>
      <w:tr w:rsidR="00D345AD" w:rsidRPr="000829A4" w14:paraId="45A01963" w14:textId="77777777">
        <w:trPr>
          <w:jc w:val="center"/>
        </w:trPr>
        <w:tc>
          <w:tcPr>
            <w:tcW w:w="2880" w:type="dxa"/>
            <w:vAlign w:val="center"/>
          </w:tcPr>
          <w:p w14:paraId="2B9B72B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Campaign reach</w:t>
            </w:r>
          </w:p>
        </w:tc>
        <w:tc>
          <w:tcPr>
            <w:tcW w:w="2232" w:type="dxa"/>
            <w:vAlign w:val="center"/>
          </w:tcPr>
          <w:p w14:paraId="058BE2A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2,000,000</w:t>
            </w:r>
          </w:p>
        </w:tc>
        <w:tc>
          <w:tcPr>
            <w:tcW w:w="4680" w:type="dxa"/>
            <w:vAlign w:val="center"/>
          </w:tcPr>
          <w:p w14:paraId="62828E7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Illustrative unique audience reach</w:t>
            </w:r>
          </w:p>
        </w:tc>
      </w:tr>
      <w:tr w:rsidR="00D345AD" w:rsidRPr="000829A4" w14:paraId="36EC7845" w14:textId="77777777">
        <w:trPr>
          <w:jc w:val="center"/>
        </w:trPr>
        <w:tc>
          <w:tcPr>
            <w:tcW w:w="2880" w:type="dxa"/>
            <w:shd w:val="clear" w:color="auto" w:fill="F3F6F9"/>
            <w:vAlign w:val="center"/>
          </w:tcPr>
          <w:p w14:paraId="29FAC09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Engagement rate</w:t>
            </w:r>
          </w:p>
        </w:tc>
        <w:tc>
          <w:tcPr>
            <w:tcW w:w="2232" w:type="dxa"/>
            <w:shd w:val="clear" w:color="auto" w:fill="F3F6F9"/>
            <w:vAlign w:val="center"/>
          </w:tcPr>
          <w:p w14:paraId="13BBEBC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12%</w:t>
            </w:r>
          </w:p>
        </w:tc>
        <w:tc>
          <w:tcPr>
            <w:tcW w:w="4680" w:type="dxa"/>
            <w:shd w:val="clear" w:color="auto" w:fill="F3F6F9"/>
            <w:vAlign w:val="center"/>
          </w:tcPr>
          <w:p w14:paraId="2B4FFEB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Share of reached audience engaging</w:t>
            </w:r>
          </w:p>
        </w:tc>
      </w:tr>
      <w:tr w:rsidR="00D345AD" w:rsidRPr="000829A4" w14:paraId="27D0109D" w14:textId="77777777">
        <w:trPr>
          <w:jc w:val="center"/>
        </w:trPr>
        <w:tc>
          <w:tcPr>
            <w:tcW w:w="2880" w:type="dxa"/>
            <w:vAlign w:val="center"/>
          </w:tcPr>
          <w:p w14:paraId="28CEC03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Visit rate from engaged</w:t>
            </w:r>
          </w:p>
        </w:tc>
        <w:tc>
          <w:tcPr>
            <w:tcW w:w="2232" w:type="dxa"/>
            <w:vAlign w:val="center"/>
          </w:tcPr>
          <w:p w14:paraId="1EB0CCF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30%</w:t>
            </w:r>
          </w:p>
        </w:tc>
        <w:tc>
          <w:tcPr>
            <w:tcW w:w="4680" w:type="dxa"/>
            <w:vAlign w:val="center"/>
          </w:tcPr>
          <w:p w14:paraId="7FB397B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Share of engaged audience visiting a product/site destination</w:t>
            </w:r>
          </w:p>
        </w:tc>
      </w:tr>
      <w:tr w:rsidR="00D345AD" w:rsidRPr="000829A4" w14:paraId="1BD1A51A" w14:textId="77777777">
        <w:trPr>
          <w:jc w:val="center"/>
        </w:trPr>
        <w:tc>
          <w:tcPr>
            <w:tcW w:w="2880" w:type="dxa"/>
            <w:shd w:val="clear" w:color="auto" w:fill="F3F6F9"/>
            <w:vAlign w:val="center"/>
          </w:tcPr>
          <w:p w14:paraId="741A154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Purchase conversion</w:t>
            </w:r>
          </w:p>
        </w:tc>
        <w:tc>
          <w:tcPr>
            <w:tcW w:w="2232" w:type="dxa"/>
            <w:shd w:val="clear" w:color="auto" w:fill="F3F6F9"/>
            <w:vAlign w:val="center"/>
          </w:tcPr>
          <w:p w14:paraId="27B002A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4%</w:t>
            </w:r>
          </w:p>
        </w:tc>
        <w:tc>
          <w:tcPr>
            <w:tcW w:w="4680" w:type="dxa"/>
            <w:shd w:val="clear" w:color="auto" w:fill="F3F6F9"/>
            <w:vAlign w:val="center"/>
          </w:tcPr>
          <w:p w14:paraId="2662152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Share of visits converting to first order</w:t>
            </w:r>
          </w:p>
        </w:tc>
      </w:tr>
      <w:tr w:rsidR="00D345AD" w:rsidRPr="000829A4" w14:paraId="6F6F41E4" w14:textId="77777777">
        <w:trPr>
          <w:jc w:val="center"/>
        </w:trPr>
        <w:tc>
          <w:tcPr>
            <w:tcW w:w="2880" w:type="dxa"/>
            <w:vAlign w:val="center"/>
          </w:tcPr>
          <w:p w14:paraId="54B7919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Average order value</w:t>
            </w:r>
          </w:p>
        </w:tc>
        <w:tc>
          <w:tcPr>
            <w:tcW w:w="2232" w:type="dxa"/>
            <w:vAlign w:val="center"/>
          </w:tcPr>
          <w:p w14:paraId="2158273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₹6,500</w:t>
            </w:r>
          </w:p>
        </w:tc>
        <w:tc>
          <w:tcPr>
            <w:tcW w:w="4680" w:type="dxa"/>
            <w:vAlign w:val="center"/>
          </w:tcPr>
          <w:p w14:paraId="4DE5440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Illustrative revenue per order</w:t>
            </w:r>
          </w:p>
        </w:tc>
      </w:tr>
      <w:tr w:rsidR="00D345AD" w:rsidRPr="000829A4" w14:paraId="0913A1D1" w14:textId="77777777">
        <w:trPr>
          <w:jc w:val="center"/>
        </w:trPr>
        <w:tc>
          <w:tcPr>
            <w:tcW w:w="2880" w:type="dxa"/>
            <w:shd w:val="clear" w:color="auto" w:fill="F3F6F9"/>
            <w:vAlign w:val="center"/>
          </w:tcPr>
          <w:p w14:paraId="1A3FAC0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Gross margin</w:t>
            </w:r>
          </w:p>
        </w:tc>
        <w:tc>
          <w:tcPr>
            <w:tcW w:w="2232" w:type="dxa"/>
            <w:shd w:val="clear" w:color="auto" w:fill="F3F6F9"/>
            <w:vAlign w:val="center"/>
          </w:tcPr>
          <w:p w14:paraId="17B69D0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42%</w:t>
            </w:r>
          </w:p>
        </w:tc>
        <w:tc>
          <w:tcPr>
            <w:tcW w:w="4680" w:type="dxa"/>
            <w:shd w:val="clear" w:color="auto" w:fill="F3F6F9"/>
            <w:vAlign w:val="center"/>
          </w:tcPr>
          <w:p w14:paraId="53B2AFEB"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Illustrative gross margin</w:t>
            </w:r>
          </w:p>
        </w:tc>
      </w:tr>
      <w:tr w:rsidR="00D345AD" w:rsidRPr="000829A4" w14:paraId="4E142CFA" w14:textId="77777777">
        <w:trPr>
          <w:jc w:val="center"/>
        </w:trPr>
        <w:tc>
          <w:tcPr>
            <w:tcW w:w="2880" w:type="dxa"/>
            <w:vAlign w:val="center"/>
          </w:tcPr>
          <w:p w14:paraId="5133816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Incremental variable costs</w:t>
            </w:r>
          </w:p>
        </w:tc>
        <w:tc>
          <w:tcPr>
            <w:tcW w:w="2232" w:type="dxa"/>
            <w:vAlign w:val="center"/>
          </w:tcPr>
          <w:p w14:paraId="3FF91CC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8% of revenue</w:t>
            </w:r>
          </w:p>
        </w:tc>
        <w:tc>
          <w:tcPr>
            <w:tcW w:w="4680" w:type="dxa"/>
            <w:vAlign w:val="center"/>
          </w:tcPr>
          <w:p w14:paraId="52D19A2A"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Illustrative payment, fulfilment, returns/service and other variable costs</w:t>
            </w:r>
          </w:p>
        </w:tc>
      </w:tr>
      <w:tr w:rsidR="00D345AD" w:rsidRPr="000829A4" w14:paraId="4B1EC0CD" w14:textId="77777777">
        <w:trPr>
          <w:jc w:val="center"/>
        </w:trPr>
        <w:tc>
          <w:tcPr>
            <w:tcW w:w="2880" w:type="dxa"/>
            <w:shd w:val="clear" w:color="auto" w:fill="F3F6F9"/>
            <w:vAlign w:val="center"/>
          </w:tcPr>
          <w:p w14:paraId="770E45F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Campaign investment</w:t>
            </w:r>
          </w:p>
        </w:tc>
        <w:tc>
          <w:tcPr>
            <w:tcW w:w="2232" w:type="dxa"/>
            <w:shd w:val="clear" w:color="auto" w:fill="F3F6F9"/>
            <w:vAlign w:val="center"/>
          </w:tcPr>
          <w:p w14:paraId="799FEC9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 crore</w:t>
            </w:r>
          </w:p>
        </w:tc>
        <w:tc>
          <w:tcPr>
            <w:tcW w:w="4680" w:type="dxa"/>
            <w:shd w:val="clear" w:color="auto" w:fill="F3F6F9"/>
            <w:vAlign w:val="center"/>
          </w:tcPr>
          <w:p w14:paraId="0743B26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Illustrative fixed budget</w:t>
            </w:r>
          </w:p>
        </w:tc>
      </w:tr>
      <w:tr w:rsidR="00D345AD" w:rsidRPr="000829A4" w14:paraId="23DB7A43" w14:textId="77777777">
        <w:trPr>
          <w:jc w:val="center"/>
        </w:trPr>
        <w:tc>
          <w:tcPr>
            <w:tcW w:w="2880" w:type="dxa"/>
            <w:vAlign w:val="center"/>
          </w:tcPr>
          <w:p w14:paraId="75D74D9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Repeat purchase rate</w:t>
            </w:r>
          </w:p>
        </w:tc>
        <w:tc>
          <w:tcPr>
            <w:tcW w:w="2232" w:type="dxa"/>
            <w:vAlign w:val="center"/>
          </w:tcPr>
          <w:p w14:paraId="5FC880E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10%</w:t>
            </w:r>
          </w:p>
        </w:tc>
        <w:tc>
          <w:tcPr>
            <w:tcW w:w="4680" w:type="dxa"/>
            <w:vAlign w:val="center"/>
          </w:tcPr>
          <w:p w14:paraId="2A052EA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Assumed one additional order for this share of first-order customers</w:t>
            </w:r>
          </w:p>
        </w:tc>
      </w:tr>
    </w:tbl>
    <w:p w14:paraId="35EE1BA8" w14:textId="77777777" w:rsidR="00D345AD" w:rsidRPr="000829A4" w:rsidRDefault="00D345AD">
      <w:pPr>
        <w:spacing w:after="20"/>
        <w:rPr>
          <w:rFonts w:asciiTheme="majorHAnsi" w:hAnsiTheme="majorHAnsi" w:cstheme="majorHAnsi"/>
        </w:rPr>
      </w:pPr>
    </w:p>
    <w:p w14:paraId="0AA7C22B" w14:textId="77777777" w:rsidR="00D345AD" w:rsidRPr="000829A4" w:rsidRDefault="00000000">
      <w:pPr>
        <w:pStyle w:val="Heading2"/>
        <w:rPr>
          <w:rFonts w:cstheme="majorHAnsi"/>
        </w:rPr>
      </w:pPr>
      <w:r w:rsidRPr="000829A4">
        <w:rPr>
          <w:rFonts w:cstheme="majorHAnsi"/>
        </w:rPr>
        <w:t>7.2 Scenario outcomes</w:t>
      </w:r>
    </w:p>
    <w:tbl>
      <w:tblPr>
        <w:tblStyle w:val="TableGrid"/>
        <w:tblW w:w="0" w:type="auto"/>
        <w:jc w:val="center"/>
        <w:tblLook w:val="04A0" w:firstRow="1" w:lastRow="0" w:firstColumn="1" w:lastColumn="0" w:noHBand="0" w:noVBand="1"/>
      </w:tblPr>
      <w:tblGrid>
        <w:gridCol w:w="3312"/>
        <w:gridCol w:w="2160"/>
        <w:gridCol w:w="2160"/>
        <w:gridCol w:w="2160"/>
      </w:tblGrid>
      <w:tr w:rsidR="00D345AD" w:rsidRPr="000829A4" w14:paraId="174FFC11" w14:textId="77777777">
        <w:trPr>
          <w:jc w:val="center"/>
        </w:trPr>
        <w:tc>
          <w:tcPr>
            <w:tcW w:w="3312" w:type="dxa"/>
            <w:shd w:val="clear" w:color="auto" w:fill="17365D"/>
            <w:vAlign w:val="center"/>
          </w:tcPr>
          <w:p w14:paraId="60D09FB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Metric</w:t>
            </w:r>
          </w:p>
        </w:tc>
        <w:tc>
          <w:tcPr>
            <w:tcW w:w="2160" w:type="dxa"/>
            <w:shd w:val="clear" w:color="auto" w:fill="17365D"/>
            <w:vAlign w:val="center"/>
          </w:tcPr>
          <w:p w14:paraId="3E8B52B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Downside</w:t>
            </w:r>
          </w:p>
        </w:tc>
        <w:tc>
          <w:tcPr>
            <w:tcW w:w="2160" w:type="dxa"/>
            <w:shd w:val="clear" w:color="auto" w:fill="17365D"/>
            <w:vAlign w:val="center"/>
          </w:tcPr>
          <w:p w14:paraId="01F13BA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Base</w:t>
            </w:r>
          </w:p>
        </w:tc>
        <w:tc>
          <w:tcPr>
            <w:tcW w:w="2160" w:type="dxa"/>
            <w:shd w:val="clear" w:color="auto" w:fill="17365D"/>
            <w:vAlign w:val="center"/>
          </w:tcPr>
          <w:p w14:paraId="1E8960B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Upside</w:t>
            </w:r>
          </w:p>
        </w:tc>
      </w:tr>
      <w:tr w:rsidR="00D345AD" w:rsidRPr="000829A4" w14:paraId="1E0685F8" w14:textId="77777777">
        <w:trPr>
          <w:jc w:val="center"/>
        </w:trPr>
        <w:tc>
          <w:tcPr>
            <w:tcW w:w="3312" w:type="dxa"/>
            <w:vAlign w:val="center"/>
          </w:tcPr>
          <w:p w14:paraId="7285C96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Reach</w:t>
            </w:r>
          </w:p>
        </w:tc>
        <w:tc>
          <w:tcPr>
            <w:tcW w:w="2160" w:type="dxa"/>
            <w:vAlign w:val="center"/>
          </w:tcPr>
          <w:p w14:paraId="118C5B3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1,200,000</w:t>
            </w:r>
          </w:p>
        </w:tc>
        <w:tc>
          <w:tcPr>
            <w:tcW w:w="2160" w:type="dxa"/>
            <w:vAlign w:val="center"/>
          </w:tcPr>
          <w:p w14:paraId="5094554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2,000,000</w:t>
            </w:r>
          </w:p>
        </w:tc>
        <w:tc>
          <w:tcPr>
            <w:tcW w:w="2160" w:type="dxa"/>
            <w:vAlign w:val="center"/>
          </w:tcPr>
          <w:p w14:paraId="659847C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3,000,000</w:t>
            </w:r>
          </w:p>
        </w:tc>
      </w:tr>
      <w:tr w:rsidR="00D345AD" w:rsidRPr="000829A4" w14:paraId="714F60D8" w14:textId="77777777">
        <w:trPr>
          <w:jc w:val="center"/>
        </w:trPr>
        <w:tc>
          <w:tcPr>
            <w:tcW w:w="3312" w:type="dxa"/>
            <w:shd w:val="clear" w:color="auto" w:fill="F3F6F9"/>
            <w:vAlign w:val="center"/>
          </w:tcPr>
          <w:p w14:paraId="7B4E4B6A"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First orders</w:t>
            </w:r>
          </w:p>
        </w:tc>
        <w:tc>
          <w:tcPr>
            <w:tcW w:w="2160" w:type="dxa"/>
            <w:shd w:val="clear" w:color="auto" w:fill="F3F6F9"/>
            <w:vAlign w:val="center"/>
          </w:tcPr>
          <w:p w14:paraId="05B016E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480</w:t>
            </w:r>
          </w:p>
        </w:tc>
        <w:tc>
          <w:tcPr>
            <w:tcW w:w="2160" w:type="dxa"/>
            <w:shd w:val="clear" w:color="auto" w:fill="F3F6F9"/>
            <w:vAlign w:val="center"/>
          </w:tcPr>
          <w:p w14:paraId="4F6C277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2,880</w:t>
            </w:r>
          </w:p>
        </w:tc>
        <w:tc>
          <w:tcPr>
            <w:tcW w:w="2160" w:type="dxa"/>
            <w:shd w:val="clear" w:color="auto" w:fill="F3F6F9"/>
            <w:vAlign w:val="center"/>
          </w:tcPr>
          <w:p w14:paraId="0333B26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7,088</w:t>
            </w:r>
          </w:p>
        </w:tc>
      </w:tr>
      <w:tr w:rsidR="00D345AD" w:rsidRPr="000829A4" w14:paraId="6F267072" w14:textId="77777777">
        <w:trPr>
          <w:jc w:val="center"/>
        </w:trPr>
        <w:tc>
          <w:tcPr>
            <w:tcW w:w="3312" w:type="dxa"/>
            <w:vAlign w:val="center"/>
          </w:tcPr>
          <w:p w14:paraId="0D43395B"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Total orders incl. repeat</w:t>
            </w:r>
          </w:p>
        </w:tc>
        <w:tc>
          <w:tcPr>
            <w:tcW w:w="2160" w:type="dxa"/>
            <w:vAlign w:val="center"/>
          </w:tcPr>
          <w:p w14:paraId="66FC1E6A"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504</w:t>
            </w:r>
          </w:p>
        </w:tc>
        <w:tc>
          <w:tcPr>
            <w:tcW w:w="2160" w:type="dxa"/>
            <w:vAlign w:val="center"/>
          </w:tcPr>
          <w:p w14:paraId="7127B7D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3,168</w:t>
            </w:r>
          </w:p>
        </w:tc>
        <w:tc>
          <w:tcPr>
            <w:tcW w:w="2160" w:type="dxa"/>
            <w:vAlign w:val="center"/>
          </w:tcPr>
          <w:p w14:paraId="1BC4FCE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8,151</w:t>
            </w:r>
          </w:p>
        </w:tc>
      </w:tr>
      <w:tr w:rsidR="00D345AD" w:rsidRPr="000829A4" w14:paraId="39C3158B" w14:textId="77777777">
        <w:trPr>
          <w:jc w:val="center"/>
        </w:trPr>
        <w:tc>
          <w:tcPr>
            <w:tcW w:w="3312" w:type="dxa"/>
            <w:shd w:val="clear" w:color="auto" w:fill="F3F6F9"/>
            <w:vAlign w:val="center"/>
          </w:tcPr>
          <w:p w14:paraId="30B4B96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Revenue</w:t>
            </w:r>
          </w:p>
        </w:tc>
        <w:tc>
          <w:tcPr>
            <w:tcW w:w="2160" w:type="dxa"/>
            <w:shd w:val="clear" w:color="auto" w:fill="F3F6F9"/>
            <w:vAlign w:val="center"/>
          </w:tcPr>
          <w:p w14:paraId="2039852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₹27.72 lakh</w:t>
            </w:r>
          </w:p>
        </w:tc>
        <w:tc>
          <w:tcPr>
            <w:tcW w:w="2160" w:type="dxa"/>
            <w:shd w:val="clear" w:color="auto" w:fill="F3F6F9"/>
            <w:vAlign w:val="center"/>
          </w:tcPr>
          <w:p w14:paraId="59B5EFC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₹2.06 crore</w:t>
            </w:r>
          </w:p>
        </w:tc>
        <w:tc>
          <w:tcPr>
            <w:tcW w:w="2160" w:type="dxa"/>
            <w:shd w:val="clear" w:color="auto" w:fill="F3F6F9"/>
            <w:vAlign w:val="center"/>
          </w:tcPr>
          <w:p w14:paraId="33BB76A3"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₹5.71 crore</w:t>
            </w:r>
          </w:p>
        </w:tc>
      </w:tr>
      <w:tr w:rsidR="00D345AD" w:rsidRPr="000829A4" w14:paraId="590F8869" w14:textId="77777777">
        <w:trPr>
          <w:jc w:val="center"/>
        </w:trPr>
        <w:tc>
          <w:tcPr>
            <w:tcW w:w="3312" w:type="dxa"/>
            <w:vAlign w:val="center"/>
          </w:tcPr>
          <w:p w14:paraId="0C1E568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Contribution</w:t>
            </w:r>
          </w:p>
        </w:tc>
        <w:tc>
          <w:tcPr>
            <w:tcW w:w="2160" w:type="dxa"/>
            <w:vAlign w:val="center"/>
          </w:tcPr>
          <w:p w14:paraId="02EA5B8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₹9.42 lakh</w:t>
            </w:r>
          </w:p>
        </w:tc>
        <w:tc>
          <w:tcPr>
            <w:tcW w:w="2160" w:type="dxa"/>
            <w:vAlign w:val="center"/>
          </w:tcPr>
          <w:p w14:paraId="73C50AE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₹70.01 lakh</w:t>
            </w:r>
          </w:p>
        </w:tc>
        <w:tc>
          <w:tcPr>
            <w:tcW w:w="2160" w:type="dxa"/>
            <w:vAlign w:val="center"/>
          </w:tcPr>
          <w:p w14:paraId="69400BBF"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₹1.94 crore</w:t>
            </w:r>
          </w:p>
        </w:tc>
      </w:tr>
      <w:tr w:rsidR="00D345AD" w:rsidRPr="000829A4" w14:paraId="34AD4E7E" w14:textId="77777777">
        <w:trPr>
          <w:jc w:val="center"/>
        </w:trPr>
        <w:tc>
          <w:tcPr>
            <w:tcW w:w="3312" w:type="dxa"/>
            <w:shd w:val="clear" w:color="auto" w:fill="F3F6F9"/>
            <w:vAlign w:val="center"/>
          </w:tcPr>
          <w:p w14:paraId="43F0FECF"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Campaign investment</w:t>
            </w:r>
          </w:p>
        </w:tc>
        <w:tc>
          <w:tcPr>
            <w:tcW w:w="2160" w:type="dxa"/>
            <w:shd w:val="clear" w:color="auto" w:fill="F3F6F9"/>
            <w:vAlign w:val="center"/>
          </w:tcPr>
          <w:p w14:paraId="0F6C1CC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₹1.00 crore</w:t>
            </w:r>
          </w:p>
        </w:tc>
        <w:tc>
          <w:tcPr>
            <w:tcW w:w="2160" w:type="dxa"/>
            <w:shd w:val="clear" w:color="auto" w:fill="F3F6F9"/>
            <w:vAlign w:val="center"/>
          </w:tcPr>
          <w:p w14:paraId="4199908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₹1.00 crore</w:t>
            </w:r>
          </w:p>
        </w:tc>
        <w:tc>
          <w:tcPr>
            <w:tcW w:w="2160" w:type="dxa"/>
            <w:shd w:val="clear" w:color="auto" w:fill="F3F6F9"/>
            <w:vAlign w:val="center"/>
          </w:tcPr>
          <w:p w14:paraId="3B4A83C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₹1.00 crore</w:t>
            </w:r>
          </w:p>
        </w:tc>
      </w:tr>
      <w:tr w:rsidR="00D345AD" w:rsidRPr="000829A4" w14:paraId="7EDDC1F3" w14:textId="77777777">
        <w:trPr>
          <w:jc w:val="center"/>
        </w:trPr>
        <w:tc>
          <w:tcPr>
            <w:tcW w:w="3312" w:type="dxa"/>
            <w:vAlign w:val="center"/>
          </w:tcPr>
          <w:p w14:paraId="77A9074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Net contribution after campaign</w:t>
            </w:r>
          </w:p>
        </w:tc>
        <w:tc>
          <w:tcPr>
            <w:tcW w:w="2160" w:type="dxa"/>
            <w:vAlign w:val="center"/>
          </w:tcPr>
          <w:p w14:paraId="2A88D78E" w14:textId="4682633B" w:rsidR="00D345AD" w:rsidRPr="000829A4" w:rsidRDefault="00487DC5">
            <w:pPr>
              <w:keepLines/>
              <w:spacing w:before="20" w:after="20"/>
              <w:rPr>
                <w:rFonts w:asciiTheme="majorHAnsi" w:hAnsiTheme="majorHAnsi" w:cstheme="majorHAnsi"/>
              </w:rPr>
            </w:pPr>
            <w:r w:rsidRPr="000829A4">
              <w:rPr>
                <w:rFonts w:asciiTheme="majorHAnsi" w:hAnsiTheme="majorHAnsi" w:cstheme="majorHAnsi"/>
                <w:sz w:val="16"/>
              </w:rPr>
              <w:t xml:space="preserve"> - </w:t>
            </w:r>
            <w:r w:rsidR="00000000" w:rsidRPr="000829A4">
              <w:rPr>
                <w:rFonts w:asciiTheme="majorHAnsi" w:hAnsiTheme="majorHAnsi" w:cstheme="majorHAnsi"/>
                <w:sz w:val="16"/>
              </w:rPr>
              <w:t>₹90.58 lakh</w:t>
            </w:r>
          </w:p>
        </w:tc>
        <w:tc>
          <w:tcPr>
            <w:tcW w:w="2160" w:type="dxa"/>
            <w:vAlign w:val="center"/>
          </w:tcPr>
          <w:p w14:paraId="5EC2353B" w14:textId="24DB0C71" w:rsidR="00D345AD" w:rsidRPr="000829A4" w:rsidRDefault="00487DC5">
            <w:pPr>
              <w:keepLines/>
              <w:spacing w:before="20" w:after="20"/>
              <w:rPr>
                <w:rFonts w:asciiTheme="majorHAnsi" w:hAnsiTheme="majorHAnsi" w:cstheme="majorHAnsi"/>
              </w:rPr>
            </w:pPr>
            <w:r w:rsidRPr="000829A4">
              <w:rPr>
                <w:rFonts w:asciiTheme="majorHAnsi" w:hAnsiTheme="majorHAnsi" w:cstheme="majorHAnsi"/>
                <w:sz w:val="16"/>
              </w:rPr>
              <w:t xml:space="preserve"> - </w:t>
            </w:r>
            <w:r w:rsidR="00000000" w:rsidRPr="000829A4">
              <w:rPr>
                <w:rFonts w:asciiTheme="majorHAnsi" w:hAnsiTheme="majorHAnsi" w:cstheme="majorHAnsi"/>
                <w:sz w:val="16"/>
              </w:rPr>
              <w:t>₹29.99 lakh</w:t>
            </w:r>
          </w:p>
        </w:tc>
        <w:tc>
          <w:tcPr>
            <w:tcW w:w="2160" w:type="dxa"/>
            <w:vAlign w:val="center"/>
          </w:tcPr>
          <w:p w14:paraId="5B80FFAF"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+₹93.98 lakh</w:t>
            </w:r>
          </w:p>
        </w:tc>
      </w:tr>
    </w:tbl>
    <w:p w14:paraId="1C667E44" w14:textId="77777777" w:rsidR="00D345AD" w:rsidRPr="000829A4" w:rsidRDefault="00D345AD">
      <w:pPr>
        <w:spacing w:after="20"/>
        <w:rPr>
          <w:rFonts w:asciiTheme="majorHAnsi" w:hAnsiTheme="majorHAnsi" w:cstheme="majorHAnsi"/>
        </w:rPr>
      </w:pPr>
    </w:p>
    <w:p w14:paraId="2306BB44" w14:textId="77777777" w:rsidR="00D345AD" w:rsidRPr="000829A4" w:rsidRDefault="00000000">
      <w:pPr>
        <w:rPr>
          <w:rFonts w:asciiTheme="majorHAnsi" w:hAnsiTheme="majorHAnsi" w:cstheme="majorHAnsi"/>
        </w:rPr>
      </w:pPr>
      <w:r w:rsidRPr="000829A4">
        <w:rPr>
          <w:rFonts w:asciiTheme="majorHAnsi" w:hAnsiTheme="majorHAnsi" w:cstheme="majorHAnsi"/>
        </w:rPr>
        <w:t>Under the base assumptions, first orders are calculated as reach × engagement rate × visit rate × purchase conversion. Total orders add assumed repeat orders. Contribution equals revenue multiplied by the assumed contribution margin (gross margin less incremental variable costs). Net contribution after campaign subtracts the campaign investment.</w:t>
      </w:r>
    </w:p>
    <w:tbl>
      <w:tblPr>
        <w:tblStyle w:val="TableGrid"/>
        <w:tblW w:w="0" w:type="auto"/>
        <w:tblLook w:val="04A0" w:firstRow="1" w:lastRow="0" w:firstColumn="1" w:lastColumn="0" w:noHBand="0" w:noVBand="1"/>
      </w:tblPr>
      <w:tblGrid>
        <w:gridCol w:w="9984"/>
      </w:tblGrid>
      <w:tr w:rsidR="00D345AD" w:rsidRPr="000829A4" w14:paraId="56BC7010" w14:textId="77777777">
        <w:tc>
          <w:tcPr>
            <w:tcW w:w="9994" w:type="dxa"/>
            <w:shd w:val="clear" w:color="auto" w:fill="FFF2CC"/>
          </w:tcPr>
          <w:p w14:paraId="544ADAE5" w14:textId="3BFD2C72" w:rsidR="00D345AD" w:rsidRPr="000829A4" w:rsidRDefault="00000000">
            <w:pPr>
              <w:keepLines/>
              <w:spacing w:after="40"/>
              <w:rPr>
                <w:rFonts w:asciiTheme="majorHAnsi" w:hAnsiTheme="majorHAnsi" w:cstheme="majorHAnsi"/>
              </w:rPr>
            </w:pPr>
            <w:r w:rsidRPr="000829A4">
              <w:rPr>
                <w:rFonts w:asciiTheme="majorHAnsi" w:hAnsiTheme="majorHAnsi" w:cstheme="majorHAnsi"/>
                <w:b/>
                <w:color w:val="17365D"/>
              </w:rPr>
              <w:t xml:space="preserve">Base-case interpretation </w:t>
            </w:r>
            <w:r w:rsidR="000829A4" w:rsidRPr="000829A4">
              <w:rPr>
                <w:rFonts w:asciiTheme="majorHAnsi" w:hAnsiTheme="majorHAnsi" w:cstheme="majorHAnsi"/>
              </w:rPr>
              <w:t>the</w:t>
            </w:r>
            <w:r w:rsidRPr="000829A4">
              <w:rPr>
                <w:rFonts w:asciiTheme="majorHAnsi" w:hAnsiTheme="majorHAnsi" w:cstheme="majorHAnsi"/>
              </w:rPr>
              <w:t xml:space="preserve"> base case does not recover the full ₹1 crore campaign investment within the modelled period: illustrative contribution is approximately ₹70.0 lakh, leaving net contribution after campaign of about </w:t>
            </w:r>
            <w:r w:rsidR="00487DC5" w:rsidRPr="000829A4">
              <w:rPr>
                <w:rFonts w:asciiTheme="majorHAnsi" w:hAnsiTheme="majorHAnsi" w:cstheme="majorHAnsi"/>
              </w:rPr>
              <w:t xml:space="preserve">- </w:t>
            </w:r>
            <w:r w:rsidRPr="000829A4">
              <w:rPr>
                <w:rFonts w:asciiTheme="majorHAnsi" w:hAnsiTheme="majorHAnsi" w:cstheme="majorHAnsi"/>
              </w:rPr>
              <w:t>₹30.0 lakh. The upside case is positive only because several funnel and value assumptions improve together. This makes validation and stage-gated spending central to the recommendation.</w:t>
            </w:r>
          </w:p>
        </w:tc>
      </w:tr>
    </w:tbl>
    <w:p w14:paraId="1623ECBB" w14:textId="77777777" w:rsidR="00D345AD" w:rsidRPr="000829A4" w:rsidRDefault="00D345AD">
      <w:pPr>
        <w:spacing w:after="20"/>
        <w:rPr>
          <w:rFonts w:asciiTheme="majorHAnsi" w:hAnsiTheme="majorHAnsi" w:cstheme="majorHAnsi"/>
        </w:rPr>
      </w:pPr>
    </w:p>
    <w:p w14:paraId="7B3D9061" w14:textId="77777777" w:rsidR="00D345AD" w:rsidRPr="000829A4" w:rsidRDefault="00000000">
      <w:pPr>
        <w:pStyle w:val="Heading2"/>
        <w:rPr>
          <w:rFonts w:cstheme="majorHAnsi"/>
        </w:rPr>
      </w:pPr>
      <w:r w:rsidRPr="000829A4">
        <w:rPr>
          <w:rFonts w:cstheme="majorHAnsi"/>
        </w:rPr>
        <w:t>7.3 Break-even and decision metrics</w:t>
      </w:r>
    </w:p>
    <w:p w14:paraId="03D8E043"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Base contribution margin: 42% gross margin − 8% incremental variable costs = 34%.</w:t>
      </w:r>
    </w:p>
    <w:p w14:paraId="32202A1B"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Base contribution per order: ₹6,500 × 34% = ₹2,210.</w:t>
      </w:r>
    </w:p>
    <w:p w14:paraId="16FC1764"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Break-even orders on a contribution basis: ₹1 crore ÷ ₹2,210 ≈ 4,525 total orders.</w:t>
      </w:r>
    </w:p>
    <w:p w14:paraId="601A190A"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Base campaign cost per first order: ₹1 crore ÷ 2,880 ≈ ₹3,472. This should be compared with first-order contribution and the expected, evidence-backed value of repeat behaviour.</w:t>
      </w:r>
    </w:p>
    <w:p w14:paraId="643F79EF" w14:textId="176004F1"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lastRenderedPageBreak/>
        <w:t>Contribution return on campaign spend in the base case: approximately 0.70× before subtracting campaign investment</w:t>
      </w:r>
      <w:r w:rsidR="000829A4" w:rsidRPr="000829A4">
        <w:rPr>
          <w:rFonts w:asciiTheme="majorHAnsi" w:hAnsiTheme="majorHAnsi" w:cstheme="majorHAnsi"/>
        </w:rPr>
        <w:t>,</w:t>
      </w:r>
      <w:r w:rsidRPr="000829A4">
        <w:rPr>
          <w:rFonts w:asciiTheme="majorHAnsi" w:hAnsiTheme="majorHAnsi" w:cstheme="majorHAnsi"/>
        </w:rPr>
        <w:t xml:space="preserve"> this is not ROI, net profit, or causal incrementality.</w:t>
      </w:r>
    </w:p>
    <w:p w14:paraId="7235B5D7" w14:textId="77777777" w:rsidR="00D345AD" w:rsidRPr="000829A4" w:rsidRDefault="00000000">
      <w:pPr>
        <w:pStyle w:val="SmallNote"/>
        <w:rPr>
          <w:rFonts w:asciiTheme="majorHAnsi" w:hAnsiTheme="majorHAnsi" w:cstheme="majorHAnsi"/>
        </w:rPr>
      </w:pPr>
      <w:r w:rsidRPr="000829A4">
        <w:rPr>
          <w:rFonts w:asciiTheme="majorHAnsi" w:hAnsiTheme="majorHAnsi" w:cstheme="majorHAnsi"/>
        </w:rPr>
        <w:t>The model does not include corporate overhead, tax, working capital, cannibalization, returns beyond the variable-cost allowance, or long-term brand effects. Actual economics could differ materially.</w:t>
      </w:r>
    </w:p>
    <w:p w14:paraId="118DE827" w14:textId="77777777" w:rsidR="00D345AD" w:rsidRPr="000829A4" w:rsidRDefault="00000000">
      <w:pPr>
        <w:pStyle w:val="Heading1"/>
        <w:rPr>
          <w:rFonts w:cstheme="majorHAnsi"/>
        </w:rPr>
      </w:pPr>
      <w:r w:rsidRPr="000829A4">
        <w:rPr>
          <w:rFonts w:cstheme="majorHAnsi"/>
        </w:rPr>
        <w:t>8. Measurement Framework</w:t>
      </w:r>
    </w:p>
    <w:tbl>
      <w:tblPr>
        <w:tblStyle w:val="TableGrid"/>
        <w:tblW w:w="0" w:type="auto"/>
        <w:jc w:val="center"/>
        <w:tblLook w:val="04A0" w:firstRow="1" w:lastRow="0" w:firstColumn="1" w:lastColumn="0" w:noHBand="0" w:noVBand="1"/>
      </w:tblPr>
      <w:tblGrid>
        <w:gridCol w:w="1944"/>
        <w:gridCol w:w="3672"/>
        <w:gridCol w:w="4248"/>
      </w:tblGrid>
      <w:tr w:rsidR="00D345AD" w:rsidRPr="000829A4" w14:paraId="66A39A19" w14:textId="77777777">
        <w:trPr>
          <w:jc w:val="center"/>
        </w:trPr>
        <w:tc>
          <w:tcPr>
            <w:tcW w:w="1944" w:type="dxa"/>
            <w:shd w:val="clear" w:color="auto" w:fill="17365D"/>
            <w:vAlign w:val="center"/>
          </w:tcPr>
          <w:p w14:paraId="0C0FDB2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Journey stage</w:t>
            </w:r>
          </w:p>
        </w:tc>
        <w:tc>
          <w:tcPr>
            <w:tcW w:w="3672" w:type="dxa"/>
            <w:shd w:val="clear" w:color="auto" w:fill="17365D"/>
            <w:vAlign w:val="center"/>
          </w:tcPr>
          <w:p w14:paraId="5756A5A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Core KPIs</w:t>
            </w:r>
          </w:p>
        </w:tc>
        <w:tc>
          <w:tcPr>
            <w:tcW w:w="4248" w:type="dxa"/>
            <w:shd w:val="clear" w:color="auto" w:fill="17365D"/>
            <w:vAlign w:val="center"/>
          </w:tcPr>
          <w:p w14:paraId="321EE77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Interpretation</w:t>
            </w:r>
          </w:p>
        </w:tc>
      </w:tr>
      <w:tr w:rsidR="00D345AD" w:rsidRPr="000829A4" w14:paraId="4B2C0140" w14:textId="77777777">
        <w:trPr>
          <w:jc w:val="center"/>
        </w:trPr>
        <w:tc>
          <w:tcPr>
            <w:tcW w:w="1944" w:type="dxa"/>
            <w:vAlign w:val="center"/>
          </w:tcPr>
          <w:p w14:paraId="2D5B9C4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Awareness / reach</w:t>
            </w:r>
          </w:p>
        </w:tc>
        <w:tc>
          <w:tcPr>
            <w:tcW w:w="3672" w:type="dxa"/>
            <w:vAlign w:val="center"/>
          </w:tcPr>
          <w:p w14:paraId="2E88336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Unique reach, frequency, target-cohort reach</w:t>
            </w:r>
          </w:p>
        </w:tc>
        <w:tc>
          <w:tcPr>
            <w:tcW w:w="4248" w:type="dxa"/>
            <w:vAlign w:val="center"/>
          </w:tcPr>
          <w:p w14:paraId="3A28D2C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Did the programme reach the intended audience at reasonable frequency?</w:t>
            </w:r>
          </w:p>
        </w:tc>
      </w:tr>
      <w:tr w:rsidR="00D345AD" w:rsidRPr="000829A4" w14:paraId="1A8BDCAB" w14:textId="77777777">
        <w:trPr>
          <w:jc w:val="center"/>
        </w:trPr>
        <w:tc>
          <w:tcPr>
            <w:tcW w:w="1944" w:type="dxa"/>
            <w:shd w:val="clear" w:color="auto" w:fill="F3F6F9"/>
            <w:vAlign w:val="center"/>
          </w:tcPr>
          <w:p w14:paraId="7238DAF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Engagement</w:t>
            </w:r>
          </w:p>
        </w:tc>
        <w:tc>
          <w:tcPr>
            <w:tcW w:w="3672" w:type="dxa"/>
            <w:shd w:val="clear" w:color="auto" w:fill="F3F6F9"/>
            <w:vAlign w:val="center"/>
          </w:tcPr>
          <w:p w14:paraId="0A3583C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Qualified engagement rate, video completion, event registration</w:t>
            </w:r>
          </w:p>
        </w:tc>
        <w:tc>
          <w:tcPr>
            <w:tcW w:w="4248" w:type="dxa"/>
            <w:shd w:val="clear" w:color="auto" w:fill="F3F6F9"/>
            <w:vAlign w:val="center"/>
          </w:tcPr>
          <w:p w14:paraId="420D7D4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Did people meaningfully interact, beyond passive impressions?</w:t>
            </w:r>
          </w:p>
        </w:tc>
      </w:tr>
      <w:tr w:rsidR="00D345AD" w:rsidRPr="000829A4" w14:paraId="7A06F9E1" w14:textId="77777777">
        <w:trPr>
          <w:jc w:val="center"/>
        </w:trPr>
        <w:tc>
          <w:tcPr>
            <w:tcW w:w="1944" w:type="dxa"/>
            <w:vAlign w:val="center"/>
          </w:tcPr>
          <w:p w14:paraId="029D57BA"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Consideration / discovery</w:t>
            </w:r>
          </w:p>
        </w:tc>
        <w:tc>
          <w:tcPr>
            <w:tcW w:w="3672" w:type="dxa"/>
            <w:vAlign w:val="center"/>
          </w:tcPr>
          <w:p w14:paraId="693B389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Product-page visits, use-case clicks, product saves, store/event-to-digital visits</w:t>
            </w:r>
          </w:p>
        </w:tc>
        <w:tc>
          <w:tcPr>
            <w:tcW w:w="4248" w:type="dxa"/>
            <w:vAlign w:val="center"/>
          </w:tcPr>
          <w:p w14:paraId="1FF7A1C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Did engagement lead to product exploration?</w:t>
            </w:r>
          </w:p>
        </w:tc>
      </w:tr>
      <w:tr w:rsidR="00D345AD" w:rsidRPr="000829A4" w14:paraId="41934359" w14:textId="77777777">
        <w:trPr>
          <w:jc w:val="center"/>
        </w:trPr>
        <w:tc>
          <w:tcPr>
            <w:tcW w:w="1944" w:type="dxa"/>
            <w:shd w:val="clear" w:color="auto" w:fill="F3F6F9"/>
            <w:vAlign w:val="center"/>
          </w:tcPr>
          <w:p w14:paraId="78AD26B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Conversion</w:t>
            </w:r>
          </w:p>
        </w:tc>
        <w:tc>
          <w:tcPr>
            <w:tcW w:w="3672" w:type="dxa"/>
            <w:shd w:val="clear" w:color="auto" w:fill="F3F6F9"/>
            <w:vAlign w:val="center"/>
          </w:tcPr>
          <w:p w14:paraId="25B355F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Purchase conversion, first orders, average order value, cart abandonment</w:t>
            </w:r>
          </w:p>
        </w:tc>
        <w:tc>
          <w:tcPr>
            <w:tcW w:w="4248" w:type="dxa"/>
            <w:shd w:val="clear" w:color="auto" w:fill="F3F6F9"/>
            <w:vAlign w:val="center"/>
          </w:tcPr>
          <w:p w14:paraId="6BF56E3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Did qualified interest convert to sales?</w:t>
            </w:r>
          </w:p>
        </w:tc>
      </w:tr>
      <w:tr w:rsidR="00D345AD" w:rsidRPr="000829A4" w14:paraId="3B6D0EDF" w14:textId="77777777">
        <w:trPr>
          <w:jc w:val="center"/>
        </w:trPr>
        <w:tc>
          <w:tcPr>
            <w:tcW w:w="1944" w:type="dxa"/>
            <w:vAlign w:val="center"/>
          </w:tcPr>
          <w:p w14:paraId="498B8CD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Economics</w:t>
            </w:r>
          </w:p>
        </w:tc>
        <w:tc>
          <w:tcPr>
            <w:tcW w:w="3672" w:type="dxa"/>
            <w:vAlign w:val="center"/>
          </w:tcPr>
          <w:p w14:paraId="09A7EAD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CAC / cost per first order, contribution per order, contribution after campaign spend</w:t>
            </w:r>
          </w:p>
        </w:tc>
        <w:tc>
          <w:tcPr>
            <w:tcW w:w="4248" w:type="dxa"/>
            <w:vAlign w:val="center"/>
          </w:tcPr>
          <w:p w14:paraId="09E89A1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Did sales generate contribution relative to acquisition investment?</w:t>
            </w:r>
          </w:p>
        </w:tc>
      </w:tr>
      <w:tr w:rsidR="00D345AD" w:rsidRPr="000829A4" w14:paraId="5BC02E3F" w14:textId="77777777">
        <w:trPr>
          <w:jc w:val="center"/>
        </w:trPr>
        <w:tc>
          <w:tcPr>
            <w:tcW w:w="1944" w:type="dxa"/>
            <w:shd w:val="clear" w:color="auto" w:fill="F3F6F9"/>
            <w:vAlign w:val="center"/>
          </w:tcPr>
          <w:p w14:paraId="61E04DA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Retention / quality</w:t>
            </w:r>
          </w:p>
        </w:tc>
        <w:tc>
          <w:tcPr>
            <w:tcW w:w="3672" w:type="dxa"/>
            <w:shd w:val="clear" w:color="auto" w:fill="F3F6F9"/>
            <w:vAlign w:val="center"/>
          </w:tcPr>
          <w:p w14:paraId="751045A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Repeat purchase, return/cancellation rate, customer feedback</w:t>
            </w:r>
          </w:p>
        </w:tc>
        <w:tc>
          <w:tcPr>
            <w:tcW w:w="4248" w:type="dxa"/>
            <w:shd w:val="clear" w:color="auto" w:fill="F3F6F9"/>
            <w:vAlign w:val="center"/>
          </w:tcPr>
          <w:p w14:paraId="0C4C074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Did the programme attract customers with sustainable value and acceptable experience?</w:t>
            </w:r>
          </w:p>
        </w:tc>
      </w:tr>
    </w:tbl>
    <w:p w14:paraId="76BAFF99" w14:textId="77777777" w:rsidR="00D345AD" w:rsidRPr="000829A4" w:rsidRDefault="00D345AD">
      <w:pPr>
        <w:spacing w:after="20"/>
        <w:rPr>
          <w:rFonts w:asciiTheme="majorHAnsi" w:hAnsiTheme="majorHAnsi" w:cstheme="majorHAnsi"/>
        </w:rPr>
      </w:pPr>
    </w:p>
    <w:p w14:paraId="7EEC932E" w14:textId="77777777" w:rsidR="00D345AD" w:rsidRPr="000829A4" w:rsidRDefault="00000000">
      <w:pPr>
        <w:rPr>
          <w:rFonts w:asciiTheme="majorHAnsi" w:hAnsiTheme="majorHAnsi" w:cstheme="majorHAnsi"/>
        </w:rPr>
      </w:pPr>
      <w:r w:rsidRPr="000829A4">
        <w:rPr>
          <w:rFonts w:asciiTheme="majorHAnsi" w:hAnsiTheme="majorHAnsi" w:cstheme="majorHAnsi"/>
        </w:rPr>
        <w:t>Where feasible, use holdout groups, matched geographies, or controlled experiments to estimate incrementality. Last-click attribution alone may over-credit campaign activity. Define a consistent attribution window, data access permissions, and privacy-safe measurement before launch.</w:t>
      </w:r>
    </w:p>
    <w:p w14:paraId="54D73CA0" w14:textId="77777777" w:rsidR="00D345AD" w:rsidRPr="000829A4" w:rsidRDefault="00000000">
      <w:pPr>
        <w:pStyle w:val="Heading2"/>
        <w:rPr>
          <w:rFonts w:cstheme="majorHAnsi"/>
        </w:rPr>
      </w:pPr>
      <w:r w:rsidRPr="000829A4">
        <w:rPr>
          <w:rFonts w:cstheme="majorHAnsi"/>
        </w:rPr>
        <w:t>8.1 Proposed stage-gate logic</w:t>
      </w:r>
    </w:p>
    <w:p w14:paraId="603DBC23"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Continue: target-cohort engagement and qualified visits meet pre-agreed thresholds, with no material brand-safety or customer-experience issues.</w:t>
      </w:r>
    </w:p>
    <w:p w14:paraId="3B6767C7"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Optimize: engagement is present but journey conversion, unit economics, or product fit is below the agreed threshold.</w:t>
      </w:r>
    </w:p>
    <w:p w14:paraId="090507B3"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Scale: controlled evidence indicates incremental orders and a credible path to positive contribution after campaign cost, with adequate stock and operational capacity.</w:t>
      </w:r>
    </w:p>
    <w:p w14:paraId="21051FAB" w14:textId="7777777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rPr>
        <w:t>Stop: no meaningful improvement versus baseline/control, persistently weak economics, or material operational, privacy, or brand-safety risk.</w:t>
      </w:r>
    </w:p>
    <w:p w14:paraId="5C9C9B17" w14:textId="74AB2943" w:rsidR="00D345AD" w:rsidRPr="000829A4" w:rsidRDefault="00000000">
      <w:pPr>
        <w:pStyle w:val="SmallNote"/>
        <w:rPr>
          <w:rFonts w:asciiTheme="majorHAnsi" w:hAnsiTheme="majorHAnsi" w:cstheme="majorHAnsi"/>
        </w:rPr>
      </w:pPr>
      <w:r w:rsidRPr="000829A4">
        <w:rPr>
          <w:rFonts w:asciiTheme="majorHAnsi" w:hAnsiTheme="majorHAnsi" w:cstheme="majorHAnsi"/>
        </w:rPr>
        <w:t xml:space="preserve">Thresholds should be set by the accountable business team after baseline </w:t>
      </w:r>
      <w:proofErr w:type="gramStart"/>
      <w:r w:rsidRPr="000829A4">
        <w:rPr>
          <w:rFonts w:asciiTheme="majorHAnsi" w:hAnsiTheme="majorHAnsi" w:cstheme="majorHAnsi"/>
        </w:rPr>
        <w:t>measurement</w:t>
      </w:r>
      <w:r w:rsidR="000829A4" w:rsidRPr="000829A4">
        <w:rPr>
          <w:rFonts w:asciiTheme="majorHAnsi" w:hAnsiTheme="majorHAnsi" w:cstheme="majorHAnsi"/>
        </w:rPr>
        <w:t>,</w:t>
      </w:r>
      <w:proofErr w:type="gramEnd"/>
      <w:r w:rsidRPr="000829A4">
        <w:rPr>
          <w:rFonts w:asciiTheme="majorHAnsi" w:hAnsiTheme="majorHAnsi" w:cstheme="majorHAnsi"/>
        </w:rPr>
        <w:t xml:space="preserve"> this report does not invent universal pass/fail cut-offs.</w:t>
      </w:r>
    </w:p>
    <w:p w14:paraId="7EF6B57E" w14:textId="77777777" w:rsidR="00D345AD" w:rsidRPr="000829A4" w:rsidRDefault="00000000">
      <w:pPr>
        <w:pStyle w:val="Heading1"/>
        <w:rPr>
          <w:rFonts w:cstheme="majorHAnsi"/>
        </w:rPr>
      </w:pPr>
      <w:r w:rsidRPr="000829A4">
        <w:rPr>
          <w:rFonts w:cstheme="majorHAnsi"/>
        </w:rPr>
        <w:t>9. Risks &amp; Mitigations</w:t>
      </w:r>
    </w:p>
    <w:tbl>
      <w:tblPr>
        <w:tblStyle w:val="TableGrid"/>
        <w:tblW w:w="0" w:type="auto"/>
        <w:jc w:val="center"/>
        <w:tblLook w:val="04A0" w:firstRow="1" w:lastRow="0" w:firstColumn="1" w:lastColumn="0" w:noHBand="0" w:noVBand="1"/>
      </w:tblPr>
      <w:tblGrid>
        <w:gridCol w:w="2232"/>
        <w:gridCol w:w="3240"/>
        <w:gridCol w:w="4392"/>
      </w:tblGrid>
      <w:tr w:rsidR="00D345AD" w:rsidRPr="000829A4" w14:paraId="3427D4ED" w14:textId="77777777">
        <w:trPr>
          <w:jc w:val="center"/>
        </w:trPr>
        <w:tc>
          <w:tcPr>
            <w:tcW w:w="2232" w:type="dxa"/>
            <w:shd w:val="clear" w:color="auto" w:fill="17365D"/>
            <w:vAlign w:val="center"/>
          </w:tcPr>
          <w:p w14:paraId="599D917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Risk</w:t>
            </w:r>
          </w:p>
        </w:tc>
        <w:tc>
          <w:tcPr>
            <w:tcW w:w="3240" w:type="dxa"/>
            <w:shd w:val="clear" w:color="auto" w:fill="17365D"/>
            <w:vAlign w:val="center"/>
          </w:tcPr>
          <w:p w14:paraId="0CE180D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Potential impact</w:t>
            </w:r>
          </w:p>
        </w:tc>
        <w:tc>
          <w:tcPr>
            <w:tcW w:w="4392" w:type="dxa"/>
            <w:shd w:val="clear" w:color="auto" w:fill="17365D"/>
            <w:vAlign w:val="center"/>
          </w:tcPr>
          <w:p w14:paraId="42182A9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Mitigation</w:t>
            </w:r>
          </w:p>
        </w:tc>
      </w:tr>
      <w:tr w:rsidR="00D345AD" w:rsidRPr="000829A4" w14:paraId="3EED41EF" w14:textId="77777777">
        <w:trPr>
          <w:jc w:val="center"/>
        </w:trPr>
        <w:tc>
          <w:tcPr>
            <w:tcW w:w="2232" w:type="dxa"/>
            <w:vAlign w:val="center"/>
          </w:tcPr>
          <w:p w14:paraId="772066A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Unvalidated consumer assumptions</w:t>
            </w:r>
          </w:p>
        </w:tc>
        <w:tc>
          <w:tcPr>
            <w:tcW w:w="3240" w:type="dxa"/>
            <w:vAlign w:val="center"/>
          </w:tcPr>
          <w:p w14:paraId="310F1DB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Investment may target the wrong need states or occasions.</w:t>
            </w:r>
          </w:p>
        </w:tc>
        <w:tc>
          <w:tcPr>
            <w:tcW w:w="4392" w:type="dxa"/>
            <w:vAlign w:val="center"/>
          </w:tcPr>
          <w:p w14:paraId="2BF3B180" w14:textId="6CE97623"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Validate through primary research and controlled pilots</w:t>
            </w:r>
            <w:r w:rsidR="000829A4" w:rsidRPr="000829A4">
              <w:rPr>
                <w:rFonts w:asciiTheme="majorHAnsi" w:hAnsiTheme="majorHAnsi" w:cstheme="majorHAnsi"/>
                <w:sz w:val="16"/>
              </w:rPr>
              <w:t>,</w:t>
            </w:r>
            <w:r w:rsidRPr="000829A4">
              <w:rPr>
                <w:rFonts w:asciiTheme="majorHAnsi" w:hAnsiTheme="majorHAnsi" w:cstheme="majorHAnsi"/>
                <w:sz w:val="16"/>
              </w:rPr>
              <w:t xml:space="preserve"> revise segments based on evidence.</w:t>
            </w:r>
          </w:p>
        </w:tc>
      </w:tr>
      <w:tr w:rsidR="00D345AD" w:rsidRPr="000829A4" w14:paraId="47131728" w14:textId="77777777">
        <w:trPr>
          <w:jc w:val="center"/>
        </w:trPr>
        <w:tc>
          <w:tcPr>
            <w:tcW w:w="2232" w:type="dxa"/>
            <w:shd w:val="clear" w:color="auto" w:fill="F3F6F9"/>
            <w:vAlign w:val="center"/>
          </w:tcPr>
          <w:p w14:paraId="2F073DC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High campaign cost / low conversion</w:t>
            </w:r>
          </w:p>
        </w:tc>
        <w:tc>
          <w:tcPr>
            <w:tcW w:w="3240" w:type="dxa"/>
            <w:shd w:val="clear" w:color="auto" w:fill="F3F6F9"/>
            <w:vAlign w:val="center"/>
          </w:tcPr>
          <w:p w14:paraId="43D9A78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Campaign contribution may not recover investment.</w:t>
            </w:r>
          </w:p>
        </w:tc>
        <w:tc>
          <w:tcPr>
            <w:tcW w:w="4392" w:type="dxa"/>
            <w:shd w:val="clear" w:color="auto" w:fill="F3F6F9"/>
            <w:vAlign w:val="center"/>
          </w:tcPr>
          <w:p w14:paraId="0FFBB9C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Use staged budgets, funnel diagnostics, and contribution-based gates.</w:t>
            </w:r>
          </w:p>
        </w:tc>
      </w:tr>
      <w:tr w:rsidR="00D345AD" w:rsidRPr="000829A4" w14:paraId="4F915A80" w14:textId="77777777">
        <w:trPr>
          <w:jc w:val="center"/>
        </w:trPr>
        <w:tc>
          <w:tcPr>
            <w:tcW w:w="2232" w:type="dxa"/>
            <w:vAlign w:val="center"/>
          </w:tcPr>
          <w:p w14:paraId="426C29C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Discount dependence</w:t>
            </w:r>
          </w:p>
        </w:tc>
        <w:tc>
          <w:tcPr>
            <w:tcW w:w="3240" w:type="dxa"/>
            <w:vAlign w:val="center"/>
          </w:tcPr>
          <w:p w14:paraId="4A8BA5B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Promotions may erode margin or shift purchase timing rather than create incrementality.</w:t>
            </w:r>
          </w:p>
        </w:tc>
        <w:tc>
          <w:tcPr>
            <w:tcW w:w="4392" w:type="dxa"/>
            <w:vAlign w:val="center"/>
          </w:tcPr>
          <w:p w14:paraId="6A62137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Test non-price value propositions and track contribution, not only order volume.</w:t>
            </w:r>
          </w:p>
        </w:tc>
      </w:tr>
      <w:tr w:rsidR="00D345AD" w:rsidRPr="000829A4" w14:paraId="0F543F0B" w14:textId="77777777">
        <w:trPr>
          <w:jc w:val="center"/>
        </w:trPr>
        <w:tc>
          <w:tcPr>
            <w:tcW w:w="2232" w:type="dxa"/>
            <w:shd w:val="clear" w:color="auto" w:fill="F3F6F9"/>
            <w:vAlign w:val="center"/>
          </w:tcPr>
          <w:p w14:paraId="1649C90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Product or size availability</w:t>
            </w:r>
          </w:p>
        </w:tc>
        <w:tc>
          <w:tcPr>
            <w:tcW w:w="3240" w:type="dxa"/>
            <w:shd w:val="clear" w:color="auto" w:fill="F3F6F9"/>
            <w:vAlign w:val="center"/>
          </w:tcPr>
          <w:p w14:paraId="27B1D3EE"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Demand may not convert when relevant products or sizes are unavailable.</w:t>
            </w:r>
          </w:p>
        </w:tc>
        <w:tc>
          <w:tcPr>
            <w:tcW w:w="4392" w:type="dxa"/>
            <w:shd w:val="clear" w:color="auto" w:fill="F3F6F9"/>
            <w:vAlign w:val="center"/>
          </w:tcPr>
          <w:p w14:paraId="6C1C28C0" w14:textId="0D17703A"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Coordinate activation with inventory and channel readiness</w:t>
            </w:r>
            <w:r w:rsidR="000829A4" w:rsidRPr="000829A4">
              <w:rPr>
                <w:rFonts w:asciiTheme="majorHAnsi" w:hAnsiTheme="majorHAnsi" w:cstheme="majorHAnsi"/>
                <w:sz w:val="16"/>
              </w:rPr>
              <w:t>,</w:t>
            </w:r>
            <w:r w:rsidRPr="000829A4">
              <w:rPr>
                <w:rFonts w:asciiTheme="majorHAnsi" w:hAnsiTheme="majorHAnsi" w:cstheme="majorHAnsi"/>
                <w:sz w:val="16"/>
              </w:rPr>
              <w:t xml:space="preserve"> avoid unsupported availability claims.</w:t>
            </w:r>
          </w:p>
        </w:tc>
      </w:tr>
      <w:tr w:rsidR="00D345AD" w:rsidRPr="000829A4" w14:paraId="00FDB47A" w14:textId="77777777">
        <w:trPr>
          <w:jc w:val="center"/>
        </w:trPr>
        <w:tc>
          <w:tcPr>
            <w:tcW w:w="2232" w:type="dxa"/>
            <w:vAlign w:val="center"/>
          </w:tcPr>
          <w:p w14:paraId="2E03550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Creator or community brand-safety issues</w:t>
            </w:r>
          </w:p>
        </w:tc>
        <w:tc>
          <w:tcPr>
            <w:tcW w:w="3240" w:type="dxa"/>
            <w:vAlign w:val="center"/>
          </w:tcPr>
          <w:p w14:paraId="50E2953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Reputation, trust, or execution may be affected.</w:t>
            </w:r>
          </w:p>
        </w:tc>
        <w:tc>
          <w:tcPr>
            <w:tcW w:w="4392" w:type="dxa"/>
            <w:vAlign w:val="center"/>
          </w:tcPr>
          <w:p w14:paraId="1F83090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Use documented partner selection, contracts, content review, and escalation protocols.</w:t>
            </w:r>
          </w:p>
        </w:tc>
      </w:tr>
      <w:tr w:rsidR="00D345AD" w:rsidRPr="000829A4" w14:paraId="6B2C455E" w14:textId="77777777">
        <w:trPr>
          <w:jc w:val="center"/>
        </w:trPr>
        <w:tc>
          <w:tcPr>
            <w:tcW w:w="2232" w:type="dxa"/>
            <w:shd w:val="clear" w:color="auto" w:fill="F3F6F9"/>
            <w:vAlign w:val="center"/>
          </w:tcPr>
          <w:p w14:paraId="20014D8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Attribution uncertainty</w:t>
            </w:r>
          </w:p>
        </w:tc>
        <w:tc>
          <w:tcPr>
            <w:tcW w:w="3240" w:type="dxa"/>
            <w:shd w:val="clear" w:color="auto" w:fill="F3F6F9"/>
            <w:vAlign w:val="center"/>
          </w:tcPr>
          <w:p w14:paraId="6D07865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Reported campaign results may overstate incremental impact.</w:t>
            </w:r>
          </w:p>
        </w:tc>
        <w:tc>
          <w:tcPr>
            <w:tcW w:w="4392" w:type="dxa"/>
            <w:shd w:val="clear" w:color="auto" w:fill="F3F6F9"/>
            <w:vAlign w:val="center"/>
          </w:tcPr>
          <w:p w14:paraId="54B97E39" w14:textId="42B3BD98"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Use holdouts or matched comparisons where practical</w:t>
            </w:r>
            <w:r w:rsidR="000829A4" w:rsidRPr="000829A4">
              <w:rPr>
                <w:rFonts w:asciiTheme="majorHAnsi" w:hAnsiTheme="majorHAnsi" w:cstheme="majorHAnsi"/>
                <w:sz w:val="16"/>
              </w:rPr>
              <w:t>,</w:t>
            </w:r>
            <w:r w:rsidRPr="000829A4">
              <w:rPr>
                <w:rFonts w:asciiTheme="majorHAnsi" w:hAnsiTheme="majorHAnsi" w:cstheme="majorHAnsi"/>
                <w:sz w:val="16"/>
              </w:rPr>
              <w:t xml:space="preserve"> triangulate attribution methods.</w:t>
            </w:r>
          </w:p>
        </w:tc>
      </w:tr>
      <w:tr w:rsidR="00D345AD" w:rsidRPr="000829A4" w14:paraId="60EE8D18" w14:textId="77777777">
        <w:trPr>
          <w:jc w:val="center"/>
        </w:trPr>
        <w:tc>
          <w:tcPr>
            <w:tcW w:w="2232" w:type="dxa"/>
            <w:vAlign w:val="center"/>
          </w:tcPr>
          <w:p w14:paraId="1C6E203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Privacy and consent</w:t>
            </w:r>
          </w:p>
        </w:tc>
        <w:tc>
          <w:tcPr>
            <w:tcW w:w="3240" w:type="dxa"/>
            <w:vAlign w:val="center"/>
          </w:tcPr>
          <w:p w14:paraId="47D765A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Data collection or retargeting may create compliance and trust risks.</w:t>
            </w:r>
          </w:p>
        </w:tc>
        <w:tc>
          <w:tcPr>
            <w:tcW w:w="4392" w:type="dxa"/>
            <w:vAlign w:val="center"/>
          </w:tcPr>
          <w:p w14:paraId="2D6398ED"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Apply applicable privacy requirements, consent controls, data minimization, and approved measurement.</w:t>
            </w:r>
          </w:p>
        </w:tc>
      </w:tr>
      <w:tr w:rsidR="00D345AD" w:rsidRPr="000829A4" w14:paraId="694D0217" w14:textId="77777777">
        <w:trPr>
          <w:jc w:val="center"/>
        </w:trPr>
        <w:tc>
          <w:tcPr>
            <w:tcW w:w="2232" w:type="dxa"/>
            <w:shd w:val="clear" w:color="auto" w:fill="F3F6F9"/>
            <w:vAlign w:val="center"/>
          </w:tcPr>
          <w:p w14:paraId="3AA7B91F"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Competitor or market data limitations</w:t>
            </w:r>
          </w:p>
        </w:tc>
        <w:tc>
          <w:tcPr>
            <w:tcW w:w="3240" w:type="dxa"/>
            <w:shd w:val="clear" w:color="auto" w:fill="F3F6F9"/>
            <w:vAlign w:val="center"/>
          </w:tcPr>
          <w:p w14:paraId="4F75A736"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Comparisons may be misleading or stale.</w:t>
            </w:r>
          </w:p>
        </w:tc>
        <w:tc>
          <w:tcPr>
            <w:tcW w:w="4392" w:type="dxa"/>
            <w:shd w:val="clear" w:color="auto" w:fill="F3F6F9"/>
            <w:vAlign w:val="center"/>
          </w:tcPr>
          <w:p w14:paraId="6F9CB15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Date-stamp observed facts, cite sources, and separate facts from hypotheses.</w:t>
            </w:r>
          </w:p>
        </w:tc>
      </w:tr>
    </w:tbl>
    <w:p w14:paraId="4A562D4F" w14:textId="77777777" w:rsidR="00D345AD" w:rsidRPr="000829A4" w:rsidRDefault="00D345AD">
      <w:pPr>
        <w:spacing w:after="20"/>
        <w:rPr>
          <w:rFonts w:asciiTheme="majorHAnsi" w:hAnsiTheme="majorHAnsi" w:cstheme="majorHAnsi"/>
        </w:rPr>
      </w:pPr>
    </w:p>
    <w:p w14:paraId="6714FA53" w14:textId="77777777" w:rsidR="00D345AD" w:rsidRPr="000829A4" w:rsidRDefault="00000000">
      <w:pPr>
        <w:pStyle w:val="Heading1"/>
        <w:rPr>
          <w:rFonts w:cstheme="majorHAnsi"/>
        </w:rPr>
      </w:pPr>
      <w:r w:rsidRPr="000829A4">
        <w:rPr>
          <w:rFonts w:cstheme="majorHAnsi"/>
        </w:rPr>
        <w:lastRenderedPageBreak/>
        <w:t>10. Conclusion &amp; Next Steps</w:t>
      </w:r>
    </w:p>
    <w:p w14:paraId="2AD43F0F" w14:textId="150E4252" w:rsidR="00D345AD" w:rsidRPr="000829A4" w:rsidRDefault="00000000">
      <w:pPr>
        <w:rPr>
          <w:rFonts w:asciiTheme="majorHAnsi" w:hAnsiTheme="majorHAnsi" w:cstheme="majorHAnsi"/>
        </w:rPr>
      </w:pPr>
      <w:r w:rsidRPr="000829A4">
        <w:rPr>
          <w:rFonts w:asciiTheme="majorHAnsi" w:hAnsiTheme="majorHAnsi" w:cstheme="majorHAnsi"/>
        </w:rPr>
        <w:t>This case proposes that Nike’s hypothetical Gen Z growth effort in India be designed as an integrated discovery-to-purchase programme, rather than a reach-only campaign. The three pillars</w:t>
      </w:r>
      <w:r w:rsidR="000829A4" w:rsidRPr="000829A4">
        <w:rPr>
          <w:rFonts w:asciiTheme="majorHAnsi" w:hAnsiTheme="majorHAnsi" w:cstheme="majorHAnsi"/>
        </w:rPr>
        <w:t xml:space="preserve"> </w:t>
      </w:r>
      <w:r w:rsidRPr="000829A4">
        <w:rPr>
          <w:rFonts w:asciiTheme="majorHAnsi" w:hAnsiTheme="majorHAnsi" w:cstheme="majorHAnsi"/>
        </w:rPr>
        <w:t>everyday youth-culture relevance, community participation, and lower-friction product discovery</w:t>
      </w:r>
      <w:r w:rsidR="000829A4" w:rsidRPr="000829A4">
        <w:rPr>
          <w:rFonts w:asciiTheme="majorHAnsi" w:hAnsiTheme="majorHAnsi" w:cstheme="majorHAnsi"/>
        </w:rPr>
        <w:t xml:space="preserve"> </w:t>
      </w:r>
      <w:r w:rsidRPr="000829A4">
        <w:rPr>
          <w:rFonts w:asciiTheme="majorHAnsi" w:hAnsiTheme="majorHAnsi" w:cstheme="majorHAnsi"/>
        </w:rPr>
        <w:t>create a testable strategy that can connect brand activity to commercial outcomes.</w:t>
      </w:r>
    </w:p>
    <w:p w14:paraId="2B83F46C" w14:textId="77777777" w:rsidR="00D345AD" w:rsidRPr="000829A4" w:rsidRDefault="00000000">
      <w:pPr>
        <w:rPr>
          <w:rFonts w:asciiTheme="majorHAnsi" w:hAnsiTheme="majorHAnsi" w:cstheme="majorHAnsi"/>
        </w:rPr>
      </w:pPr>
      <w:r w:rsidRPr="000829A4">
        <w:rPr>
          <w:rFonts w:asciiTheme="majorHAnsi" w:hAnsiTheme="majorHAnsi" w:cstheme="majorHAnsi"/>
        </w:rPr>
        <w:t>The financial scenarios show why execution discipline matters: the illustrative base case does not recover the assumed campaign investment, while the upside case depends on stronger reach and funnel performance. Accordingly, the next decision should be to validate customer hypotheses, set baselines, pilot a limited set of activities, and scale only where incremental contribution and customer experience justify further investment.</w:t>
      </w:r>
    </w:p>
    <w:p w14:paraId="0044A223" w14:textId="77777777" w:rsidR="00D345AD" w:rsidRPr="000829A4" w:rsidRDefault="00000000">
      <w:pPr>
        <w:pStyle w:val="Heading2"/>
        <w:rPr>
          <w:rFonts w:cstheme="majorHAnsi"/>
        </w:rPr>
      </w:pPr>
      <w:r w:rsidRPr="000829A4">
        <w:rPr>
          <w:rFonts w:cstheme="majorHAnsi"/>
        </w:rPr>
        <w:t>Immediate next steps</w:t>
      </w:r>
    </w:p>
    <w:p w14:paraId="640CD674" w14:textId="54A05DDB"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Agree on a consistent market and consumer scope</w:t>
      </w:r>
      <w:r w:rsidR="000829A4" w:rsidRPr="000829A4">
        <w:rPr>
          <w:rFonts w:asciiTheme="majorHAnsi" w:hAnsiTheme="majorHAnsi" w:cstheme="majorHAnsi"/>
        </w:rPr>
        <w:t>,</w:t>
      </w:r>
      <w:r w:rsidRPr="000829A4">
        <w:rPr>
          <w:rFonts w:asciiTheme="majorHAnsi" w:hAnsiTheme="majorHAnsi" w:cstheme="majorHAnsi"/>
        </w:rPr>
        <w:t xml:space="preserve"> validate source definitions and the priority category.</w:t>
      </w:r>
    </w:p>
    <w:p w14:paraId="5B8C13C1" w14:textId="77777777"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Conduct primary consumer research and a small, dated competitor product/journey validation exercise.</w:t>
      </w:r>
    </w:p>
    <w:p w14:paraId="27DEC5C1" w14:textId="77777777"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Confirm pilot geographies, target use cases, product readiness, budget ownership, and measurement design.</w:t>
      </w:r>
    </w:p>
    <w:p w14:paraId="28555382" w14:textId="7B1A650F"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Run pilots with pre-agreed stage gates</w:t>
      </w:r>
      <w:r w:rsidR="000829A4" w:rsidRPr="000829A4">
        <w:rPr>
          <w:rFonts w:asciiTheme="majorHAnsi" w:hAnsiTheme="majorHAnsi" w:cstheme="majorHAnsi"/>
        </w:rPr>
        <w:t>,</w:t>
      </w:r>
      <w:r w:rsidRPr="000829A4">
        <w:rPr>
          <w:rFonts w:asciiTheme="majorHAnsi" w:hAnsiTheme="majorHAnsi" w:cstheme="majorHAnsi"/>
        </w:rPr>
        <w:t xml:space="preserve"> update the financial model using observed results.</w:t>
      </w:r>
    </w:p>
    <w:p w14:paraId="6C716642" w14:textId="77777777" w:rsidR="00D345AD" w:rsidRPr="000829A4" w:rsidRDefault="00000000">
      <w:pPr>
        <w:pStyle w:val="ListNumber"/>
        <w:spacing w:after="40"/>
        <w:rPr>
          <w:rFonts w:asciiTheme="majorHAnsi" w:hAnsiTheme="majorHAnsi" w:cstheme="majorHAnsi"/>
        </w:rPr>
      </w:pPr>
      <w:r w:rsidRPr="000829A4">
        <w:rPr>
          <w:rFonts w:asciiTheme="majorHAnsi" w:hAnsiTheme="majorHAnsi" w:cstheme="majorHAnsi"/>
        </w:rPr>
        <w:t>Prepare a concise leadership presentation with the decision required, evidence, assumptions, economics, risks, and next steps.</w:t>
      </w:r>
    </w:p>
    <w:p w14:paraId="556CEF7B" w14:textId="73F5FA05" w:rsidR="00D345AD" w:rsidRPr="000829A4" w:rsidRDefault="00000000">
      <w:pPr>
        <w:pStyle w:val="Heading1"/>
        <w:rPr>
          <w:rFonts w:cstheme="majorHAnsi"/>
        </w:rPr>
      </w:pPr>
      <w:r w:rsidRPr="000829A4">
        <w:rPr>
          <w:rFonts w:cstheme="majorHAnsi"/>
        </w:rPr>
        <w:t>Appendix A</w:t>
      </w:r>
      <w:r w:rsidR="000829A4" w:rsidRPr="000829A4">
        <w:rPr>
          <w:rFonts w:cstheme="majorHAnsi"/>
        </w:rPr>
        <w:t xml:space="preserve"> - </w:t>
      </w:r>
      <w:r w:rsidRPr="000829A4">
        <w:rPr>
          <w:rFonts w:cstheme="majorHAnsi"/>
        </w:rPr>
        <w:t>Sources &amp; References</w:t>
      </w:r>
    </w:p>
    <w:p w14:paraId="4F2C251D" w14:textId="33C6D7A8"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Euromonitor International, Sportswear in India (public report overview). </w:t>
      </w:r>
      <w:r w:rsidRPr="000829A4">
        <w:rPr>
          <w:rFonts w:asciiTheme="majorHAnsi" w:hAnsiTheme="majorHAnsi" w:cstheme="majorHAnsi"/>
        </w:rPr>
        <w:t>https://www.euromonitor.com/sportswear-in-india/report</w:t>
      </w:r>
      <w:r w:rsidR="000829A4" w:rsidRPr="000829A4">
        <w:rPr>
          <w:rFonts w:asciiTheme="majorHAnsi" w:hAnsiTheme="majorHAnsi" w:cstheme="majorHAnsi"/>
        </w:rPr>
        <w:t xml:space="preserve"> - </w:t>
      </w:r>
      <w:r w:rsidRPr="000829A4">
        <w:rPr>
          <w:rFonts w:asciiTheme="majorHAnsi" w:hAnsiTheme="majorHAnsi" w:cstheme="majorHAnsi"/>
        </w:rPr>
        <w:t>Broad sportswear market context and forecast figures cited in desk research</w:t>
      </w:r>
      <w:r w:rsidR="000829A4" w:rsidRPr="000829A4">
        <w:rPr>
          <w:rFonts w:asciiTheme="majorHAnsi" w:hAnsiTheme="majorHAnsi" w:cstheme="majorHAnsi"/>
        </w:rPr>
        <w:t>,</w:t>
      </w:r>
      <w:r w:rsidRPr="000829A4">
        <w:rPr>
          <w:rFonts w:asciiTheme="majorHAnsi" w:hAnsiTheme="majorHAnsi" w:cstheme="majorHAnsi"/>
        </w:rPr>
        <w:t xml:space="preserve"> full report/methodology not reviewed.</w:t>
      </w:r>
    </w:p>
    <w:p w14:paraId="6B98A4CC" w14:textId="7A7CD104"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Hindustan Foods Limited, Annual Report 2024</w:t>
      </w:r>
      <w:r w:rsidR="00487DC5" w:rsidRPr="000829A4">
        <w:rPr>
          <w:rFonts w:asciiTheme="majorHAnsi" w:hAnsiTheme="majorHAnsi" w:cstheme="majorHAnsi"/>
          <w:b/>
        </w:rPr>
        <w:t xml:space="preserve"> - </w:t>
      </w:r>
      <w:r w:rsidRPr="000829A4">
        <w:rPr>
          <w:rFonts w:asciiTheme="majorHAnsi" w:hAnsiTheme="majorHAnsi" w:cstheme="majorHAnsi"/>
          <w:b/>
        </w:rPr>
        <w:t xml:space="preserve">25, Management Discussion &amp; Analysis (athletic-footwear estimate attributed there to IMARC). </w:t>
      </w:r>
      <w:r w:rsidRPr="000829A4">
        <w:rPr>
          <w:rFonts w:asciiTheme="majorHAnsi" w:hAnsiTheme="majorHAnsi" w:cstheme="majorHAnsi"/>
        </w:rPr>
        <w:t xml:space="preserve">https://nsearchives.nseindia.com/annual_reports/AR_27657_HNDFDS_2024_2025_A_11429527_25082025180640.pdf </w:t>
      </w:r>
      <w:r w:rsidR="000829A4" w:rsidRPr="000829A4">
        <w:rPr>
          <w:rFonts w:asciiTheme="majorHAnsi" w:hAnsiTheme="majorHAnsi" w:cstheme="majorHAnsi"/>
        </w:rPr>
        <w:t xml:space="preserve">- </w:t>
      </w:r>
      <w:r w:rsidRPr="000829A4">
        <w:rPr>
          <w:rFonts w:asciiTheme="majorHAnsi" w:hAnsiTheme="majorHAnsi" w:cstheme="majorHAnsi"/>
        </w:rPr>
        <w:t>Secondary citation for athletic-footwear market estimate</w:t>
      </w:r>
      <w:r w:rsidR="000829A4" w:rsidRPr="000829A4">
        <w:rPr>
          <w:rFonts w:asciiTheme="majorHAnsi" w:hAnsiTheme="majorHAnsi" w:cstheme="majorHAnsi"/>
        </w:rPr>
        <w:t>,</w:t>
      </w:r>
      <w:r w:rsidRPr="000829A4">
        <w:rPr>
          <w:rFonts w:asciiTheme="majorHAnsi" w:hAnsiTheme="majorHAnsi" w:cstheme="majorHAnsi"/>
        </w:rPr>
        <w:t xml:space="preserve"> not a direct review of the underlying study.</w:t>
      </w:r>
    </w:p>
    <w:p w14:paraId="59F70917" w14:textId="33E8FA7D"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Ken Research, India Sports Apparel Market (public market overview). </w:t>
      </w:r>
      <w:r w:rsidRPr="000829A4">
        <w:rPr>
          <w:rFonts w:asciiTheme="majorHAnsi" w:hAnsiTheme="majorHAnsi" w:cstheme="majorHAnsi"/>
        </w:rPr>
        <w:t xml:space="preserve">https://www.kenresearch.com/industry-reports/india-sports-apparel-market </w:t>
      </w:r>
      <w:r w:rsidR="000829A4" w:rsidRPr="000829A4">
        <w:rPr>
          <w:rFonts w:asciiTheme="majorHAnsi" w:hAnsiTheme="majorHAnsi" w:cstheme="majorHAnsi"/>
        </w:rPr>
        <w:t>-</w:t>
      </w:r>
      <w:r w:rsidRPr="000829A4">
        <w:rPr>
          <w:rFonts w:asciiTheme="majorHAnsi" w:hAnsiTheme="majorHAnsi" w:cstheme="majorHAnsi"/>
        </w:rPr>
        <w:t xml:space="preserve"> Public-summary sports apparel estimate</w:t>
      </w:r>
      <w:r w:rsidR="000829A4" w:rsidRPr="000829A4">
        <w:rPr>
          <w:rFonts w:asciiTheme="majorHAnsi" w:hAnsiTheme="majorHAnsi" w:cstheme="majorHAnsi"/>
        </w:rPr>
        <w:t>,</w:t>
      </w:r>
      <w:r w:rsidRPr="000829A4">
        <w:rPr>
          <w:rFonts w:asciiTheme="majorHAnsi" w:hAnsiTheme="majorHAnsi" w:cstheme="majorHAnsi"/>
        </w:rPr>
        <w:t xml:space="preserve"> methodology and definitions may differ.</w:t>
      </w:r>
    </w:p>
    <w:p w14:paraId="75248F3E" w14:textId="6B9F5147"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Nike India. </w:t>
      </w:r>
      <w:r w:rsidRPr="000829A4">
        <w:rPr>
          <w:rFonts w:asciiTheme="majorHAnsi" w:hAnsiTheme="majorHAnsi" w:cstheme="majorHAnsi"/>
        </w:rPr>
        <w:t xml:space="preserve">https://www.nike.com/in/ </w:t>
      </w:r>
      <w:r w:rsidR="000829A4" w:rsidRPr="000829A4">
        <w:rPr>
          <w:rFonts w:asciiTheme="majorHAnsi" w:hAnsiTheme="majorHAnsi" w:cstheme="majorHAnsi"/>
        </w:rPr>
        <w:t>-</w:t>
      </w:r>
      <w:r w:rsidRPr="000829A4">
        <w:rPr>
          <w:rFonts w:asciiTheme="majorHAnsi" w:hAnsiTheme="majorHAnsi" w:cstheme="majorHAnsi"/>
        </w:rPr>
        <w:t xml:space="preserve"> Official product/category reference</w:t>
      </w:r>
      <w:r w:rsidR="000829A4" w:rsidRPr="000829A4">
        <w:rPr>
          <w:rFonts w:asciiTheme="majorHAnsi" w:hAnsiTheme="majorHAnsi" w:cstheme="majorHAnsi"/>
        </w:rPr>
        <w:t>,</w:t>
      </w:r>
      <w:r w:rsidRPr="000829A4">
        <w:rPr>
          <w:rFonts w:asciiTheme="majorHAnsi" w:hAnsiTheme="majorHAnsi" w:cstheme="majorHAnsi"/>
        </w:rPr>
        <w:t xml:space="preserve"> exact SKUs, prices, and availability not live-verified in this report.</w:t>
      </w:r>
    </w:p>
    <w:p w14:paraId="16984034" w14:textId="79561B2A"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adidas India. </w:t>
      </w:r>
      <w:r w:rsidRPr="000829A4">
        <w:rPr>
          <w:rFonts w:asciiTheme="majorHAnsi" w:hAnsiTheme="majorHAnsi" w:cstheme="majorHAnsi"/>
        </w:rPr>
        <w:t xml:space="preserve">https://www.adidas.co.in/ </w:t>
      </w:r>
      <w:r w:rsidR="000829A4" w:rsidRPr="000829A4">
        <w:rPr>
          <w:rFonts w:asciiTheme="majorHAnsi" w:hAnsiTheme="majorHAnsi" w:cstheme="majorHAnsi"/>
        </w:rPr>
        <w:t>-</w:t>
      </w:r>
      <w:r w:rsidRPr="000829A4">
        <w:rPr>
          <w:rFonts w:asciiTheme="majorHAnsi" w:hAnsiTheme="majorHAnsi" w:cstheme="majorHAnsi"/>
        </w:rPr>
        <w:t xml:space="preserve"> Official product/category reference.</w:t>
      </w:r>
    </w:p>
    <w:p w14:paraId="69E3B5F9" w14:textId="47C789E4"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Puma India. </w:t>
      </w:r>
      <w:r w:rsidRPr="000829A4">
        <w:rPr>
          <w:rFonts w:asciiTheme="majorHAnsi" w:hAnsiTheme="majorHAnsi" w:cstheme="majorHAnsi"/>
        </w:rPr>
        <w:t xml:space="preserve">https://in.puma.com/ </w:t>
      </w:r>
      <w:r w:rsidR="000829A4" w:rsidRPr="000829A4">
        <w:rPr>
          <w:rFonts w:asciiTheme="majorHAnsi" w:hAnsiTheme="majorHAnsi" w:cstheme="majorHAnsi"/>
        </w:rPr>
        <w:t>-</w:t>
      </w:r>
      <w:r w:rsidRPr="000829A4">
        <w:rPr>
          <w:rFonts w:asciiTheme="majorHAnsi" w:hAnsiTheme="majorHAnsi" w:cstheme="majorHAnsi"/>
        </w:rPr>
        <w:t xml:space="preserve"> Official product/category reference.</w:t>
      </w:r>
    </w:p>
    <w:p w14:paraId="5FC8FC4E" w14:textId="5B8DD52B"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Skechers India. </w:t>
      </w:r>
      <w:r w:rsidRPr="000829A4">
        <w:rPr>
          <w:rFonts w:asciiTheme="majorHAnsi" w:hAnsiTheme="majorHAnsi" w:cstheme="majorHAnsi"/>
        </w:rPr>
        <w:t xml:space="preserve">https://www.skechers.in/ </w:t>
      </w:r>
      <w:r w:rsidR="000829A4" w:rsidRPr="000829A4">
        <w:rPr>
          <w:rFonts w:asciiTheme="majorHAnsi" w:hAnsiTheme="majorHAnsi" w:cstheme="majorHAnsi"/>
        </w:rPr>
        <w:t>-</w:t>
      </w:r>
      <w:r w:rsidRPr="000829A4">
        <w:rPr>
          <w:rFonts w:asciiTheme="majorHAnsi" w:hAnsiTheme="majorHAnsi" w:cstheme="majorHAnsi"/>
        </w:rPr>
        <w:t xml:space="preserve"> Official product/category reference.</w:t>
      </w:r>
    </w:p>
    <w:p w14:paraId="3C8416ED" w14:textId="523638A9"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Decathlon India. </w:t>
      </w:r>
      <w:r w:rsidRPr="000829A4">
        <w:rPr>
          <w:rFonts w:asciiTheme="majorHAnsi" w:hAnsiTheme="majorHAnsi" w:cstheme="majorHAnsi"/>
        </w:rPr>
        <w:t xml:space="preserve">https://www.decathlon.in/ </w:t>
      </w:r>
      <w:r w:rsidR="000829A4" w:rsidRPr="000829A4">
        <w:rPr>
          <w:rFonts w:asciiTheme="majorHAnsi" w:hAnsiTheme="majorHAnsi" w:cstheme="majorHAnsi"/>
        </w:rPr>
        <w:t>-</w:t>
      </w:r>
      <w:r w:rsidRPr="000829A4">
        <w:rPr>
          <w:rFonts w:asciiTheme="majorHAnsi" w:hAnsiTheme="majorHAnsi" w:cstheme="majorHAnsi"/>
        </w:rPr>
        <w:t xml:space="preserve"> Official product/category reference.</w:t>
      </w:r>
    </w:p>
    <w:p w14:paraId="32704CBA" w14:textId="7D332FFC"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Campus Activewear. </w:t>
      </w:r>
      <w:r w:rsidRPr="000829A4">
        <w:rPr>
          <w:rFonts w:asciiTheme="majorHAnsi" w:hAnsiTheme="majorHAnsi" w:cstheme="majorHAnsi"/>
        </w:rPr>
        <w:t xml:space="preserve">https://www.campusshoes.com/ </w:t>
      </w:r>
      <w:r w:rsidR="000829A4" w:rsidRPr="000829A4">
        <w:rPr>
          <w:rFonts w:asciiTheme="majorHAnsi" w:hAnsiTheme="majorHAnsi" w:cstheme="majorHAnsi"/>
        </w:rPr>
        <w:t>-</w:t>
      </w:r>
      <w:r w:rsidRPr="000829A4">
        <w:rPr>
          <w:rFonts w:asciiTheme="majorHAnsi" w:hAnsiTheme="majorHAnsi" w:cstheme="majorHAnsi"/>
        </w:rPr>
        <w:t xml:space="preserve"> Official product/category reference.</w:t>
      </w:r>
    </w:p>
    <w:p w14:paraId="193C521D" w14:textId="7F4421F8"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New Balance. </w:t>
      </w:r>
      <w:r w:rsidRPr="000829A4">
        <w:rPr>
          <w:rFonts w:asciiTheme="majorHAnsi" w:hAnsiTheme="majorHAnsi" w:cstheme="majorHAnsi"/>
        </w:rPr>
        <w:t xml:space="preserve">https://www.newbalance.com/ </w:t>
      </w:r>
      <w:r w:rsidR="000829A4" w:rsidRPr="000829A4">
        <w:rPr>
          <w:rFonts w:asciiTheme="majorHAnsi" w:hAnsiTheme="majorHAnsi" w:cstheme="majorHAnsi"/>
        </w:rPr>
        <w:t>-</w:t>
      </w:r>
      <w:r w:rsidRPr="000829A4">
        <w:rPr>
          <w:rFonts w:asciiTheme="majorHAnsi" w:hAnsiTheme="majorHAnsi" w:cstheme="majorHAnsi"/>
        </w:rPr>
        <w:t xml:space="preserve"> Official brand/product reference</w:t>
      </w:r>
      <w:r w:rsidR="000829A4" w:rsidRPr="000829A4">
        <w:rPr>
          <w:rFonts w:asciiTheme="majorHAnsi" w:hAnsiTheme="majorHAnsi" w:cstheme="majorHAnsi"/>
        </w:rPr>
        <w:t>,</w:t>
      </w:r>
      <w:r w:rsidRPr="000829A4">
        <w:rPr>
          <w:rFonts w:asciiTheme="majorHAnsi" w:hAnsiTheme="majorHAnsi" w:cstheme="majorHAnsi"/>
        </w:rPr>
        <w:t xml:space="preserve"> India-specific availability and prices require separate validation.</w:t>
      </w:r>
    </w:p>
    <w:p w14:paraId="3A26F482" w14:textId="2ED66AAC" w:rsidR="00D345AD" w:rsidRPr="000829A4" w:rsidRDefault="00000000">
      <w:pPr>
        <w:pStyle w:val="ListBullet"/>
        <w:spacing w:after="40"/>
        <w:rPr>
          <w:rFonts w:asciiTheme="majorHAnsi" w:hAnsiTheme="majorHAnsi" w:cstheme="majorHAnsi"/>
        </w:rPr>
      </w:pPr>
      <w:r w:rsidRPr="000829A4">
        <w:rPr>
          <w:rFonts w:asciiTheme="majorHAnsi" w:hAnsiTheme="majorHAnsi" w:cstheme="majorHAnsi"/>
          <w:b/>
        </w:rPr>
        <w:t xml:space="preserve">BlissClub. </w:t>
      </w:r>
      <w:r w:rsidRPr="000829A4">
        <w:rPr>
          <w:rFonts w:asciiTheme="majorHAnsi" w:hAnsiTheme="majorHAnsi" w:cstheme="majorHAnsi"/>
        </w:rPr>
        <w:t xml:space="preserve">https://blissclub.com/ </w:t>
      </w:r>
      <w:r w:rsidR="000829A4" w:rsidRPr="000829A4">
        <w:rPr>
          <w:rFonts w:asciiTheme="majorHAnsi" w:hAnsiTheme="majorHAnsi" w:cstheme="majorHAnsi"/>
        </w:rPr>
        <w:t>-</w:t>
      </w:r>
      <w:r w:rsidRPr="000829A4">
        <w:rPr>
          <w:rFonts w:asciiTheme="majorHAnsi" w:hAnsiTheme="majorHAnsi" w:cstheme="majorHAnsi"/>
        </w:rPr>
        <w:t xml:space="preserve"> Official activewear reference.</w:t>
      </w:r>
    </w:p>
    <w:p w14:paraId="037EEE21" w14:textId="58AB47CB" w:rsidR="00D345AD" w:rsidRPr="000829A4" w:rsidRDefault="00000000">
      <w:pPr>
        <w:pStyle w:val="Heading1"/>
        <w:rPr>
          <w:rFonts w:cstheme="majorHAnsi"/>
        </w:rPr>
      </w:pPr>
      <w:r w:rsidRPr="000829A4">
        <w:rPr>
          <w:rFonts w:cstheme="majorHAnsi"/>
        </w:rPr>
        <w:t xml:space="preserve">Appendix B </w:t>
      </w:r>
      <w:r w:rsidR="000829A4" w:rsidRPr="000829A4">
        <w:rPr>
          <w:rFonts w:cstheme="majorHAnsi"/>
        </w:rPr>
        <w:t>-</w:t>
      </w:r>
      <w:r w:rsidRPr="000829A4">
        <w:rPr>
          <w:rFonts w:cstheme="majorHAnsi"/>
        </w:rPr>
        <w:t xml:space="preserve"> Definitions</w:t>
      </w:r>
    </w:p>
    <w:tbl>
      <w:tblPr>
        <w:tblStyle w:val="TableGrid"/>
        <w:tblW w:w="0" w:type="auto"/>
        <w:jc w:val="center"/>
        <w:tblLook w:val="04A0" w:firstRow="1" w:lastRow="0" w:firstColumn="1" w:lastColumn="0" w:noHBand="0" w:noVBand="1"/>
      </w:tblPr>
      <w:tblGrid>
        <w:gridCol w:w="2880"/>
        <w:gridCol w:w="6984"/>
      </w:tblGrid>
      <w:tr w:rsidR="00D345AD" w:rsidRPr="000829A4" w14:paraId="4DBAA354" w14:textId="77777777">
        <w:trPr>
          <w:jc w:val="center"/>
        </w:trPr>
        <w:tc>
          <w:tcPr>
            <w:tcW w:w="2880" w:type="dxa"/>
            <w:shd w:val="clear" w:color="auto" w:fill="17365D"/>
            <w:vAlign w:val="center"/>
          </w:tcPr>
          <w:p w14:paraId="378225BB"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Term</w:t>
            </w:r>
          </w:p>
        </w:tc>
        <w:tc>
          <w:tcPr>
            <w:tcW w:w="6984" w:type="dxa"/>
            <w:shd w:val="clear" w:color="auto" w:fill="17365D"/>
            <w:vAlign w:val="center"/>
          </w:tcPr>
          <w:p w14:paraId="16EE4430"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b/>
                <w:color w:val="FFFFFF"/>
                <w:sz w:val="16"/>
              </w:rPr>
              <w:t>Definition used in this report</w:t>
            </w:r>
          </w:p>
        </w:tc>
      </w:tr>
      <w:tr w:rsidR="00D345AD" w:rsidRPr="000829A4" w14:paraId="6D96945A" w14:textId="77777777">
        <w:trPr>
          <w:jc w:val="center"/>
        </w:trPr>
        <w:tc>
          <w:tcPr>
            <w:tcW w:w="2880" w:type="dxa"/>
            <w:vAlign w:val="center"/>
          </w:tcPr>
          <w:p w14:paraId="0C18A8B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Reach</w:t>
            </w:r>
          </w:p>
        </w:tc>
        <w:tc>
          <w:tcPr>
            <w:tcW w:w="6984" w:type="dxa"/>
            <w:vAlign w:val="center"/>
          </w:tcPr>
          <w:p w14:paraId="290CDD6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Estimated unique audience exposed to the campaign.</w:t>
            </w:r>
          </w:p>
        </w:tc>
      </w:tr>
      <w:tr w:rsidR="00D345AD" w:rsidRPr="000829A4" w14:paraId="1D262C4F" w14:textId="77777777">
        <w:trPr>
          <w:jc w:val="center"/>
        </w:trPr>
        <w:tc>
          <w:tcPr>
            <w:tcW w:w="2880" w:type="dxa"/>
            <w:shd w:val="clear" w:color="auto" w:fill="F3F6F9"/>
            <w:vAlign w:val="center"/>
          </w:tcPr>
          <w:p w14:paraId="44C63C0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Engagement rate</w:t>
            </w:r>
          </w:p>
        </w:tc>
        <w:tc>
          <w:tcPr>
            <w:tcW w:w="6984" w:type="dxa"/>
            <w:shd w:val="clear" w:color="auto" w:fill="F3F6F9"/>
            <w:vAlign w:val="center"/>
          </w:tcPr>
          <w:p w14:paraId="03F9B1C9"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Share of reached audience meeting the modelled engagement definition.</w:t>
            </w:r>
          </w:p>
        </w:tc>
      </w:tr>
      <w:tr w:rsidR="00D345AD" w:rsidRPr="000829A4" w14:paraId="4E2DA3C1" w14:textId="77777777">
        <w:trPr>
          <w:jc w:val="center"/>
        </w:trPr>
        <w:tc>
          <w:tcPr>
            <w:tcW w:w="2880" w:type="dxa"/>
            <w:vAlign w:val="center"/>
          </w:tcPr>
          <w:p w14:paraId="5C7EA6B1"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Visit rate</w:t>
            </w:r>
          </w:p>
        </w:tc>
        <w:tc>
          <w:tcPr>
            <w:tcW w:w="6984" w:type="dxa"/>
            <w:vAlign w:val="center"/>
          </w:tcPr>
          <w:p w14:paraId="01CDC5E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Share of engaged audience that visits a product/site destination.</w:t>
            </w:r>
          </w:p>
        </w:tc>
      </w:tr>
      <w:tr w:rsidR="00D345AD" w:rsidRPr="000829A4" w14:paraId="496D1E5B" w14:textId="77777777">
        <w:trPr>
          <w:jc w:val="center"/>
        </w:trPr>
        <w:tc>
          <w:tcPr>
            <w:tcW w:w="2880" w:type="dxa"/>
            <w:shd w:val="clear" w:color="auto" w:fill="F3F6F9"/>
            <w:vAlign w:val="center"/>
          </w:tcPr>
          <w:p w14:paraId="47EFFA7B"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Purchase conversion</w:t>
            </w:r>
          </w:p>
        </w:tc>
        <w:tc>
          <w:tcPr>
            <w:tcW w:w="6984" w:type="dxa"/>
            <w:shd w:val="clear" w:color="auto" w:fill="F3F6F9"/>
            <w:vAlign w:val="center"/>
          </w:tcPr>
          <w:p w14:paraId="5C692995"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Share of site visits converting to a first order.</w:t>
            </w:r>
          </w:p>
        </w:tc>
      </w:tr>
      <w:tr w:rsidR="00D345AD" w:rsidRPr="000829A4" w14:paraId="33D7F957" w14:textId="77777777">
        <w:trPr>
          <w:jc w:val="center"/>
        </w:trPr>
        <w:tc>
          <w:tcPr>
            <w:tcW w:w="2880" w:type="dxa"/>
            <w:vAlign w:val="center"/>
          </w:tcPr>
          <w:p w14:paraId="7A32721B"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Average order value (AOV)</w:t>
            </w:r>
          </w:p>
        </w:tc>
        <w:tc>
          <w:tcPr>
            <w:tcW w:w="6984" w:type="dxa"/>
            <w:vAlign w:val="center"/>
          </w:tcPr>
          <w:p w14:paraId="7C5068F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Average revenue per order in the illustrative model.</w:t>
            </w:r>
          </w:p>
        </w:tc>
      </w:tr>
      <w:tr w:rsidR="00D345AD" w:rsidRPr="000829A4" w14:paraId="77A03408" w14:textId="77777777">
        <w:trPr>
          <w:jc w:val="center"/>
        </w:trPr>
        <w:tc>
          <w:tcPr>
            <w:tcW w:w="2880" w:type="dxa"/>
            <w:shd w:val="clear" w:color="auto" w:fill="F3F6F9"/>
            <w:vAlign w:val="center"/>
          </w:tcPr>
          <w:p w14:paraId="7F85533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Gross margin</w:t>
            </w:r>
          </w:p>
        </w:tc>
        <w:tc>
          <w:tcPr>
            <w:tcW w:w="6984" w:type="dxa"/>
            <w:shd w:val="clear" w:color="auto" w:fill="F3F6F9"/>
            <w:vAlign w:val="center"/>
          </w:tcPr>
          <w:p w14:paraId="38D5A824"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Revenue less cost of goods sold, expressed as a share of revenue.</w:t>
            </w:r>
          </w:p>
        </w:tc>
      </w:tr>
      <w:tr w:rsidR="00D345AD" w:rsidRPr="000829A4" w14:paraId="1C4E02D6" w14:textId="77777777">
        <w:trPr>
          <w:jc w:val="center"/>
        </w:trPr>
        <w:tc>
          <w:tcPr>
            <w:tcW w:w="2880" w:type="dxa"/>
            <w:vAlign w:val="center"/>
          </w:tcPr>
          <w:p w14:paraId="57F917A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Contribution margin</w:t>
            </w:r>
          </w:p>
        </w:tc>
        <w:tc>
          <w:tcPr>
            <w:tcW w:w="6984" w:type="dxa"/>
            <w:vAlign w:val="center"/>
          </w:tcPr>
          <w:p w14:paraId="0A0C7E1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Gross margin less assumed incremental variable costs.</w:t>
            </w:r>
          </w:p>
        </w:tc>
      </w:tr>
      <w:tr w:rsidR="00D345AD" w:rsidRPr="000829A4" w14:paraId="15046D03" w14:textId="77777777">
        <w:trPr>
          <w:jc w:val="center"/>
        </w:trPr>
        <w:tc>
          <w:tcPr>
            <w:tcW w:w="2880" w:type="dxa"/>
            <w:shd w:val="clear" w:color="auto" w:fill="F3F6F9"/>
            <w:vAlign w:val="center"/>
          </w:tcPr>
          <w:p w14:paraId="77CF9458"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Net contribution after campaign</w:t>
            </w:r>
          </w:p>
        </w:tc>
        <w:tc>
          <w:tcPr>
            <w:tcW w:w="6984" w:type="dxa"/>
            <w:shd w:val="clear" w:color="auto" w:fill="F3F6F9"/>
            <w:vAlign w:val="center"/>
          </w:tcPr>
          <w:p w14:paraId="717AF48B" w14:textId="45740B6C"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Modelled contribution less campaign investment</w:t>
            </w:r>
            <w:r w:rsidR="000829A4" w:rsidRPr="000829A4">
              <w:rPr>
                <w:rFonts w:asciiTheme="majorHAnsi" w:hAnsiTheme="majorHAnsi" w:cstheme="majorHAnsi"/>
                <w:sz w:val="16"/>
              </w:rPr>
              <w:t>,</w:t>
            </w:r>
            <w:r w:rsidRPr="000829A4">
              <w:rPr>
                <w:rFonts w:asciiTheme="majorHAnsi" w:hAnsiTheme="majorHAnsi" w:cstheme="majorHAnsi"/>
                <w:sz w:val="16"/>
              </w:rPr>
              <w:t xml:space="preserve"> not net profit.</w:t>
            </w:r>
          </w:p>
        </w:tc>
      </w:tr>
      <w:tr w:rsidR="00D345AD" w:rsidRPr="000829A4" w14:paraId="08DDF95C" w14:textId="77777777">
        <w:trPr>
          <w:jc w:val="center"/>
        </w:trPr>
        <w:tc>
          <w:tcPr>
            <w:tcW w:w="2880" w:type="dxa"/>
            <w:vAlign w:val="center"/>
          </w:tcPr>
          <w:p w14:paraId="65D6D0F2"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CAC / cost per first order</w:t>
            </w:r>
          </w:p>
        </w:tc>
        <w:tc>
          <w:tcPr>
            <w:tcW w:w="6984" w:type="dxa"/>
            <w:vAlign w:val="center"/>
          </w:tcPr>
          <w:p w14:paraId="7D1AD157"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Campaign investment divided by campaign-attributed first orders in this simplified model.</w:t>
            </w:r>
          </w:p>
        </w:tc>
      </w:tr>
      <w:tr w:rsidR="00D345AD" w:rsidRPr="000829A4" w14:paraId="6A5AD66D" w14:textId="77777777">
        <w:trPr>
          <w:jc w:val="center"/>
        </w:trPr>
        <w:tc>
          <w:tcPr>
            <w:tcW w:w="2880" w:type="dxa"/>
            <w:shd w:val="clear" w:color="auto" w:fill="F3F6F9"/>
            <w:vAlign w:val="center"/>
          </w:tcPr>
          <w:p w14:paraId="46B3F08C" w14:textId="77777777"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TAM / SAM / SOM</w:t>
            </w:r>
          </w:p>
        </w:tc>
        <w:tc>
          <w:tcPr>
            <w:tcW w:w="6984" w:type="dxa"/>
            <w:shd w:val="clear" w:color="auto" w:fill="F3F6F9"/>
            <w:vAlign w:val="center"/>
          </w:tcPr>
          <w:p w14:paraId="0020188F" w14:textId="2FF67281" w:rsidR="00D345AD" w:rsidRPr="000829A4" w:rsidRDefault="00000000">
            <w:pPr>
              <w:keepLines/>
              <w:spacing w:before="20" w:after="20"/>
              <w:rPr>
                <w:rFonts w:asciiTheme="majorHAnsi" w:hAnsiTheme="majorHAnsi" w:cstheme="majorHAnsi"/>
              </w:rPr>
            </w:pPr>
            <w:r w:rsidRPr="000829A4">
              <w:rPr>
                <w:rFonts w:asciiTheme="majorHAnsi" w:hAnsiTheme="majorHAnsi" w:cstheme="majorHAnsi"/>
                <w:sz w:val="16"/>
              </w:rPr>
              <w:t>Total, serviceable, and obtainable market</w:t>
            </w:r>
            <w:r w:rsidR="000829A4" w:rsidRPr="000829A4">
              <w:rPr>
                <w:rFonts w:asciiTheme="majorHAnsi" w:hAnsiTheme="majorHAnsi" w:cstheme="majorHAnsi"/>
                <w:sz w:val="16"/>
              </w:rPr>
              <w:t>,</w:t>
            </w:r>
            <w:r w:rsidRPr="000829A4">
              <w:rPr>
                <w:rFonts w:asciiTheme="majorHAnsi" w:hAnsiTheme="majorHAnsi" w:cstheme="majorHAnsi"/>
                <w:sz w:val="16"/>
              </w:rPr>
              <w:t xml:space="preserve"> not calculated in this report due to insufficient consistent </w:t>
            </w:r>
            <w:r w:rsidRPr="000829A4">
              <w:rPr>
                <w:rFonts w:asciiTheme="majorHAnsi" w:hAnsiTheme="majorHAnsi" w:cstheme="majorHAnsi"/>
                <w:sz w:val="16"/>
              </w:rPr>
              <w:lastRenderedPageBreak/>
              <w:t>cohort/category data.</w:t>
            </w:r>
          </w:p>
        </w:tc>
      </w:tr>
    </w:tbl>
    <w:p w14:paraId="39E10172" w14:textId="77777777" w:rsidR="00D345AD" w:rsidRPr="000829A4" w:rsidRDefault="00D345AD">
      <w:pPr>
        <w:spacing w:after="20"/>
        <w:rPr>
          <w:rFonts w:asciiTheme="majorHAnsi" w:hAnsiTheme="majorHAnsi" w:cstheme="majorHAnsi"/>
        </w:rPr>
      </w:pPr>
    </w:p>
    <w:sectPr w:rsidR="00D345AD" w:rsidRPr="000829A4" w:rsidSect="00034616">
      <w:headerReference w:type="default" r:id="rId8"/>
      <w:footerReference w:type="default" r:id="rId9"/>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F58F8F" w14:textId="77777777" w:rsidR="009A40C9" w:rsidRDefault="009A40C9">
      <w:pPr>
        <w:spacing w:after="0" w:line="240" w:lineRule="auto"/>
        <w:rPr>
          <w:rFonts w:hint="eastAsia"/>
        </w:rPr>
      </w:pPr>
      <w:r>
        <w:separator/>
      </w:r>
    </w:p>
  </w:endnote>
  <w:endnote w:type="continuationSeparator" w:id="0">
    <w:p w14:paraId="75E1148C" w14:textId="77777777" w:rsidR="009A40C9" w:rsidRDefault="009A40C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F406E" w14:textId="77777777" w:rsidR="00D345AD" w:rsidRDefault="00000000">
    <w:pPr>
      <w:pStyle w:val="Footer"/>
      <w:jc w:val="center"/>
      <w:rPr>
        <w:rFonts w:hint="eastAsia"/>
      </w:rPr>
    </w:pPr>
    <w:r>
      <w:rPr>
        <w:color w:val="666666"/>
        <w:sz w:val="16"/>
      </w:rPr>
      <w:t>Independent student portfolio project • Not commissioned by or affiliated with Nike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1FF5A8" w14:textId="77777777" w:rsidR="009A40C9" w:rsidRDefault="009A40C9">
      <w:pPr>
        <w:spacing w:after="0" w:line="240" w:lineRule="auto"/>
        <w:rPr>
          <w:rFonts w:hint="eastAsia"/>
        </w:rPr>
      </w:pPr>
      <w:r>
        <w:separator/>
      </w:r>
    </w:p>
  </w:footnote>
  <w:footnote w:type="continuationSeparator" w:id="0">
    <w:p w14:paraId="4773A35C" w14:textId="77777777" w:rsidR="009A40C9" w:rsidRDefault="009A40C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2D2DC4" w14:textId="46CB32C6" w:rsidR="00D345AD" w:rsidRDefault="00000000">
    <w:pPr>
      <w:pStyle w:val="Caption"/>
      <w:rPr>
        <w:rFonts w:hint="eastAsia"/>
      </w:rPr>
    </w:pPr>
    <w:r>
      <w:rPr>
        <w:color w:val="666666"/>
        <w:sz w:val="16"/>
      </w:rPr>
      <w:t>INDEPENDENT CONSULTING CASE STUDY | NIKE GEN Z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229760">
    <w:abstractNumId w:val="8"/>
  </w:num>
  <w:num w:numId="2" w16cid:durableId="350224731">
    <w:abstractNumId w:val="6"/>
  </w:num>
  <w:num w:numId="3" w16cid:durableId="1096053192">
    <w:abstractNumId w:val="5"/>
  </w:num>
  <w:num w:numId="4" w16cid:durableId="1852646343">
    <w:abstractNumId w:val="4"/>
  </w:num>
  <w:num w:numId="5" w16cid:durableId="1669553630">
    <w:abstractNumId w:val="7"/>
  </w:num>
  <w:num w:numId="6" w16cid:durableId="621695736">
    <w:abstractNumId w:val="3"/>
  </w:num>
  <w:num w:numId="7" w16cid:durableId="1705518150">
    <w:abstractNumId w:val="2"/>
  </w:num>
  <w:num w:numId="8" w16cid:durableId="1972787489">
    <w:abstractNumId w:val="1"/>
  </w:num>
  <w:num w:numId="9" w16cid:durableId="10685793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9A4"/>
    <w:rsid w:val="0015074B"/>
    <w:rsid w:val="0029639D"/>
    <w:rsid w:val="003018DA"/>
    <w:rsid w:val="00326F90"/>
    <w:rsid w:val="00487DC5"/>
    <w:rsid w:val="0061544E"/>
    <w:rsid w:val="009A40C9"/>
    <w:rsid w:val="00AA1D8D"/>
    <w:rsid w:val="00B47730"/>
    <w:rsid w:val="00CB0664"/>
    <w:rsid w:val="00D345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56973"/>
  <w14:defaultImageDpi w14:val="300"/>
  <w15:docId w15:val="{7A908C8E-DFC9-1448-A524-50BDC52FF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E5322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66666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3718</Words>
  <Characters>21199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Nike: Winning the Next Generation — Gen Z Market Expansion Strategy | India</dc:title>
  <dc:subject>Independent hypothetical consulting case study</dc:subject>
  <dc:creator>Independent student portfolio project</dc:creator>
  <cp:keywords/>
  <dc:description>generated by python-docx</dc:description>
  <cp:lastModifiedBy>Tushar Verma (BDA 25-27)</cp:lastModifiedBy>
  <cp:revision>2</cp:revision>
  <dcterms:created xsi:type="dcterms:W3CDTF">2026-09-30T15:31:00Z</dcterms:created>
  <dcterms:modified xsi:type="dcterms:W3CDTF">2026-09-30T15:31:00Z</dcterms:modified>
  <cp:category/>
</cp:coreProperties>
</file>