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A365D"/>
          <w:sz w:val="52"/>
        </w:rPr>
        <w:t>SentimentScope: Multi-Model Sentiment Analysis</w:t>
      </w:r>
    </w:p>
    <w:p>
      <w:pPr>
        <w:spacing w:after="480"/>
        <w:jc w:val="center"/>
      </w:pPr>
      <w:r>
        <w:rPr>
          <w:rFonts w:ascii="Calibri" w:hAnsi="Calibri"/>
          <w:color w:val="0D9488"/>
          <w:sz w:val="28"/>
        </w:rPr>
        <w:t>Comprehensive Evaluation &amp; Technical Project Report</w:t>
        <w:br/>
        <w:t>Dataset: CardiffNLP TweetEval Benchmark (59,641 Microblog Tweets)</w:t>
      </w:r>
    </w:p>
    <w:tbl>
      <w:tblPr>
        <w:tblW w:type="auto" w:w="0"/>
        <w:jc w:val="center"/>
        <w:tblLayout w:type="fixed"/>
        <w:tblLook w:firstColumn="1" w:firstRow="1" w:lastColumn="0" w:lastRow="0" w:noHBand="0" w:noVBand="1" w:val="04A0"/>
      </w:tblPr>
      <w:tblGrid>
        <w:gridCol w:w="4680"/>
        <w:gridCol w:w="4680"/>
      </w:tblGrid>
      <w:tr>
        <w:tc>
          <w:tcPr>
            <w:tcW w:type="dxa" w:w="4680"/>
          </w:tcPr>
          <w:p>
            <w:pPr>
              <w:spacing w:after="40" w:before="40"/>
            </w:pPr>
            <w:r>
              <w:rPr>
                <w:b/>
              </w:rPr>
              <w:t xml:space="preserve">Evaluation Scope: </w:t>
            </w:r>
            <w:r>
              <w:t>Full ~60k Tweet Split</w:t>
            </w:r>
          </w:p>
        </w:tc>
        <w:tc>
          <w:tcPr>
            <w:tcW w:type="dxa" w:w="4680"/>
          </w:tcPr>
          <w:p>
            <w:pPr>
              <w:spacing w:after="40" w:before="40"/>
            </w:pPr>
            <w:r>
              <w:rPr>
                <w:b/>
              </w:rPr>
              <w:t xml:space="preserve">Framework Stack: </w:t>
            </w:r>
            <w:r>
              <w:t>Scikit-Learn, Keras, FastAPI</w:t>
            </w:r>
          </w:p>
        </w:tc>
      </w:tr>
      <w:tr>
        <w:tc>
          <w:tcPr>
            <w:tcW w:type="dxa" w:w="4680"/>
          </w:tcPr>
          <w:p>
            <w:pPr>
              <w:spacing w:after="40" w:before="40"/>
            </w:pPr>
            <w:r>
              <w:rPr>
                <w:b/>
              </w:rPr>
              <w:t xml:space="preserve">Dataset Submission: </w:t>
            </w:r>
            <w:r>
              <w:t>Public (TweetEval Benchmark)</w:t>
            </w:r>
          </w:p>
        </w:tc>
        <w:tc>
          <w:tcPr>
            <w:tcW w:type="dxa" w:w="4680"/>
          </w:tcPr>
          <w:p>
            <w:pPr>
              <w:spacing w:after="40" w:before="40"/>
            </w:pPr>
            <w:r>
              <w:rPr>
                <w:b/>
              </w:rPr>
              <w:t xml:space="preserve">Top Production Model: </w:t>
            </w:r>
            <w:r>
              <w:t>Logistic Regression (66.67% Acc)</w:t>
            </w:r>
          </w:p>
        </w:tc>
      </w:tr>
    </w:tbl>
    <w:p>
      <w:pPr>
        <w:spacing w:after="240"/>
      </w:pPr>
    </w:p>
    <w:tbl>
      <w:tblPr>
        <w:tblW w:type="auto" w:w="0"/>
        <w:jc w:val="center"/>
        <w:tblLayout w:type="fixed"/>
        <w:tblLook w:firstColumn="1" w:firstRow="1" w:lastColumn="0" w:lastRow="0" w:noHBand="0" w:noVBand="1" w:val="04A0"/>
      </w:tblPr>
      <w:tblGrid>
        <w:gridCol w:w="9360"/>
      </w:tblGrid>
      <w:tr>
        <w:tc>
          <w:tcPr>
            <w:tcW w:type="dxa" w:w="9360"/>
            <w:shd w:fill="F8FAFC"/>
            <w:tcBorders>
              <w:left w:val="single" w:sz="36" w:space="0" w:color="0D9488"/>
              <w:top w:val="none"/>
              <w:right w:val="none"/>
              <w:bottom w:val="none"/>
            </w:tcBorders>
          </w:tcPr>
          <w:p>
            <w:pPr>
              <w:spacing w:before="120" w:after="120"/>
              <w:ind w:left="144" w:right="144"/>
            </w:pPr>
            <w:r>
              <w:rPr>
                <w:b/>
                <w:color w:val="0D9488"/>
              </w:rPr>
              <w:t xml:space="preserve">EXECUTIVE SUMMARY: </w:t>
            </w:r>
            <w:r>
              <w:rPr>
                <w:color w:val="334155"/>
              </w:rPr>
              <w:t>SentimentScope evaluates 5 distinct sentiment classification architectures on the full ~60k CardiffNLP TweetEval benchmark. Logistic Regression achieves peak CPU inference efficiency (66.67% Accuracy / 0.6451 Macro F1 at 1.20 ms latency), while fine-tuned Twitter-RoBERTa achieves peak raw performance (74.12% Accuracy / 0.7389 Macro F1). All models were evaluated on equal footing across 8,947 held-out test tweets.</w:t>
            </w:r>
          </w:p>
        </w:tc>
      </w:tr>
    </w:tbl>
    <w:p>
      <w:pPr>
        <w:spacing w:after="120"/>
      </w:pPr>
    </w:p>
    <w:p>
      <w:pPr>
        <w:keepNext/>
        <w:spacing w:before="360" w:after="120"/>
      </w:pPr>
      <w:r>
        <w:rPr>
          <w:rFonts w:ascii="Calibri" w:hAnsi="Calibri"/>
          <w:b/>
          <w:color w:val="1A365D"/>
          <w:sz w:val="36"/>
        </w:rPr>
        <w:t>1. Code Quality &amp; Architectural Integrity</w:t>
      </w:r>
    </w:p>
    <w:p>
      <w:pPr>
        <w:spacing w:after="120" w:line="276" w:lineRule="auto"/>
      </w:pPr>
      <w:r>
        <w:t>SentimentScope is structured following professional modular engineering principles. Rather than relying on monolithic script files, the codebase isolates data ingestion, cleaning, feature extraction, model fitting, API endpoints, and visual analytics into distinct, type-annotated Python packages.</w:t>
      </w:r>
    </w:p>
    <w:p>
      <w:pPr>
        <w:keepNext/>
        <w:spacing w:before="240" w:after="80"/>
      </w:pPr>
      <w:r>
        <w:rPr>
          <w:rFonts w:ascii="Calibri" w:hAnsi="Calibri"/>
          <w:b/>
          <w:color w:val="0D9488"/>
          <w:sz w:val="28"/>
        </w:rPr>
        <w:t>Repository Directory Structure</w:t>
      </w:r>
    </w:p>
    <w:p>
      <w:pPr>
        <w:spacing w:after="120" w:line="276" w:lineRule="auto"/>
      </w:pPr>
      <w:r>
        <w:t>• src/data_loader.py — Automated downloading, cleaning, deduplication, and stratified 70/15/15 train/val/test splitting.</w:t>
        <w:br/>
        <w:t>• src/preprocessing.py — Microblog text normalization with explicit negation preservation.</w:t>
        <w:br/>
        <w:t>• src/features.py — Sparse CSR matrix TF-IDF vectorization and Keras sequence tokenization.</w:t>
        <w:br/>
        <w:t>• src/train.py — Hyperparameter grid search, 5-fold cross-validation, probability calibration, and model artifact serialization.</w:t>
        <w:br/>
        <w:t>• src/visualize.py — Automated visual asset generation producing publication-ready evaluation charts.</w:t>
        <w:br/>
        <w:t>• src/api.py — Asynchronous FastAPI REST server exposing single/batch inference and system telemetry.</w:t>
        <w:br/>
        <w:t>• public/index.html — Premium dashboard with Chart.js donut rendering, live feed animations, and batch CSV processing.</w:t>
      </w:r>
    </w:p>
    <w:p>
      <w:pPr>
        <w:spacing w:after="120" w:line="276" w:lineRule="auto"/>
      </w:pPr>
      <w:r>
        <w:rPr>
          <w:b/>
          <w:color w:val="1A365D"/>
        </w:rPr>
        <w:t xml:space="preserve">Sparse Matrix Optimization: </w:t>
      </w:r>
      <w:r>
        <w:t>Memory Efficiency Optimization: During feature extraction on 41,748 training rows, calling `.toarray()` on SciPy sparse matrices caused RAM allocation spikes exceeding 6.7 GB per grid-search step. By removing `.toarray()` and feeding SciPy CSR sparse matrices directly into Scikit-learn solvers, memory consumption dropped to 50 MB, accelerating feature extraction throughput by over 50x.</w:t>
      </w:r>
    </w:p>
    <w:p>
      <w:pPr>
        <w:keepNext/>
        <w:spacing w:before="360" w:after="120"/>
      </w:pPr>
      <w:r>
        <w:rPr>
          <w:rFonts w:ascii="Calibri" w:hAnsi="Calibri"/>
          <w:b/>
          <w:color w:val="1A365D"/>
          <w:sz w:val="36"/>
        </w:rPr>
        <w:t>2. Accuracy &amp; Model Performance Evaluation</w:t>
      </w:r>
    </w:p>
    <w:p>
      <w:pPr>
        <w:spacing w:after="120" w:line="276" w:lineRule="auto"/>
      </w:pPr>
      <w:r>
        <w:t>To ensure rigorous, unbiased comparison, all 5 candidate model architectures were trained and evaluated on the exact same dataset split comprising 59,641 unique microblog tweets (41,748 training, 8,946 validation, and 8,947 held-out test tweets).</w:t>
      </w:r>
    </w:p>
    <w:p>
      <w:pPr>
        <w:keepNext/>
        <w:spacing w:before="240" w:after="80"/>
      </w:pPr>
      <w:r>
        <w:rPr>
          <w:rFonts w:ascii="Calibri" w:hAnsi="Calibri"/>
          <w:b/>
          <w:color w:val="0D9488"/>
          <w:sz w:val="28"/>
        </w:rPr>
        <w:t>Comprehensive Model Comparison Benchmark Table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shd w:fill="1A365D"/>
          </w:tcPr>
          <w:p>
            <w:pPr>
              <w:jc w:val="center"/>
            </w:pPr>
            <w:r>
              <w:rPr>
                <w:b/>
                <w:color w:val="FFFFFF"/>
                <w:sz w:val="19"/>
              </w:rPr>
              <w:t>Model Architecture</w:t>
            </w:r>
          </w:p>
        </w:tc>
        <w:tc>
          <w:tcPr>
            <w:tcW w:type="dxa" w:w="1560"/>
            <w:shd w:fill="1A365D"/>
          </w:tcPr>
          <w:p>
            <w:pPr>
              <w:jc w:val="center"/>
            </w:pPr>
            <w:r>
              <w:rPr>
                <w:b/>
                <w:color w:val="FFFFFF"/>
                <w:sz w:val="19"/>
              </w:rPr>
              <w:t>Model Family</w:t>
            </w:r>
          </w:p>
        </w:tc>
        <w:tc>
          <w:tcPr>
            <w:tcW w:type="dxa" w:w="1560"/>
            <w:shd w:fill="1A365D"/>
          </w:tcPr>
          <w:p>
            <w:pPr>
              <w:jc w:val="center"/>
            </w:pPr>
            <w:r>
              <w:rPr>
                <w:b/>
                <w:color w:val="FFFFFF"/>
                <w:sz w:val="19"/>
              </w:rPr>
              <w:t>Test Accuracy</w:t>
            </w:r>
          </w:p>
        </w:tc>
        <w:tc>
          <w:tcPr>
            <w:tcW w:type="dxa" w:w="1560"/>
            <w:shd w:fill="1A365D"/>
          </w:tcPr>
          <w:p>
            <w:pPr>
              <w:jc w:val="center"/>
            </w:pPr>
            <w:r>
              <w:rPr>
                <w:b/>
                <w:color w:val="FFFFFF"/>
                <w:sz w:val="19"/>
              </w:rPr>
              <w:t>Macro F1</w:t>
            </w:r>
          </w:p>
        </w:tc>
        <w:tc>
          <w:tcPr>
            <w:tcW w:type="dxa" w:w="1560"/>
            <w:shd w:fill="1A365D"/>
          </w:tcPr>
          <w:p>
            <w:pPr>
              <w:jc w:val="center"/>
            </w:pPr>
            <w:r>
              <w:rPr>
                <w:b/>
                <w:color w:val="FFFFFF"/>
                <w:sz w:val="19"/>
              </w:rPr>
              <w:t>CPU Latency</w:t>
            </w:r>
          </w:p>
        </w:tc>
        <w:tc>
          <w:tcPr>
            <w:tcW w:type="dxa" w:w="1560"/>
            <w:shd w:fill="1A365D"/>
          </w:tcPr>
          <w:p>
            <w:pPr>
              <w:jc w:val="center"/>
            </w:pPr>
            <w:r>
              <w:rPr>
                <w:b/>
                <w:color w:val="FFFFFF"/>
                <w:sz w:val="19"/>
              </w:rPr>
              <w:t>Model Size</w:t>
            </w:r>
          </w:p>
        </w:tc>
      </w:tr>
      <w:tr>
        <w:tc>
          <w:tcPr>
            <w:tcW w:type="dxa" w:w="1560"/>
            <w:shd w:fill="FFFFFF"/>
          </w:tcPr>
          <w:p>
            <w:pPr>
              <w:spacing w:before="60" w:after="60"/>
            </w:pPr>
            <w:r>
              <w:rPr>
                <w:sz w:val="19"/>
              </w:rPr>
              <w:t>Multinomial Naive Bayes</w:t>
            </w:r>
          </w:p>
        </w:tc>
        <w:tc>
          <w:tcPr>
            <w:tcW w:type="dxa" w:w="1560"/>
            <w:shd w:fill="FFFFFF"/>
          </w:tcPr>
          <w:p>
            <w:pPr>
              <w:spacing w:before="60" w:after="60"/>
            </w:pPr>
            <w:r>
              <w:rPr>
                <w:sz w:val="19"/>
              </w:rPr>
              <w:t>Statistical</w:t>
            </w:r>
          </w:p>
        </w:tc>
        <w:tc>
          <w:tcPr>
            <w:tcW w:type="dxa" w:w="1560"/>
            <w:shd w:fill="FFFFFF"/>
          </w:tcPr>
          <w:p>
            <w:pPr>
              <w:spacing w:before="60" w:after="60"/>
              <w:jc w:val="center"/>
            </w:pPr>
            <w:r>
              <w:rPr>
                <w:sz w:val="19"/>
              </w:rPr>
              <w:t>62.34%</w:t>
            </w:r>
          </w:p>
        </w:tc>
        <w:tc>
          <w:tcPr>
            <w:tcW w:type="dxa" w:w="1560"/>
            <w:shd w:fill="FFFFFF"/>
          </w:tcPr>
          <w:p>
            <w:pPr>
              <w:spacing w:before="60" w:after="60"/>
              <w:jc w:val="center"/>
            </w:pPr>
            <w:r>
              <w:rPr>
                <w:sz w:val="19"/>
              </w:rPr>
              <w:t>0.5897</w:t>
            </w:r>
          </w:p>
        </w:tc>
        <w:tc>
          <w:tcPr>
            <w:tcW w:type="dxa" w:w="1560"/>
            <w:shd w:fill="FFFFFF"/>
          </w:tcPr>
          <w:p>
            <w:pPr>
              <w:spacing w:before="60" w:after="60"/>
              <w:jc w:val="center"/>
            </w:pPr>
            <w:r>
              <w:rPr>
                <w:sz w:val="19"/>
              </w:rPr>
              <w:t>0.85 ms</w:t>
            </w:r>
          </w:p>
        </w:tc>
        <w:tc>
          <w:tcPr>
            <w:tcW w:type="dxa" w:w="1560"/>
            <w:shd w:fill="FFFFFF"/>
          </w:tcPr>
          <w:p>
            <w:pPr>
              <w:spacing w:before="60" w:after="60"/>
              <w:jc w:val="center"/>
            </w:pPr>
            <w:r>
              <w:rPr>
                <w:sz w:val="19"/>
              </w:rPr>
              <w:t>3.2 MB</w:t>
            </w:r>
          </w:p>
        </w:tc>
      </w:tr>
      <w:tr>
        <w:tc>
          <w:tcPr>
            <w:tcW w:type="dxa" w:w="1560"/>
            <w:shd w:fill="F8FAFC"/>
          </w:tcPr>
          <w:p>
            <w:pPr>
              <w:spacing w:before="60" w:after="60"/>
            </w:pPr>
            <w:r>
              <w:rPr>
                <w:sz w:val="19"/>
              </w:rPr>
              <w:t>Logistic Regression (TF-IDF)</w:t>
            </w:r>
          </w:p>
        </w:tc>
        <w:tc>
          <w:tcPr>
            <w:tcW w:type="dxa" w:w="1560"/>
            <w:shd w:fill="F8FAFC"/>
          </w:tcPr>
          <w:p>
            <w:pPr>
              <w:spacing w:before="60" w:after="60"/>
            </w:pPr>
            <w:r>
              <w:rPr>
                <w:sz w:val="19"/>
              </w:rPr>
              <w:t>Linear</w:t>
            </w:r>
          </w:p>
        </w:tc>
        <w:tc>
          <w:tcPr>
            <w:tcW w:type="dxa" w:w="1560"/>
            <w:shd w:fill="F8FAFC"/>
          </w:tcPr>
          <w:p>
            <w:pPr>
              <w:spacing w:before="60" w:after="60"/>
              <w:jc w:val="center"/>
            </w:pPr>
            <w:r>
              <w:rPr>
                <w:sz w:val="19"/>
              </w:rPr>
              <w:t>66.67%</w:t>
            </w:r>
          </w:p>
        </w:tc>
        <w:tc>
          <w:tcPr>
            <w:tcW w:type="dxa" w:w="1560"/>
            <w:shd w:fill="F8FAFC"/>
          </w:tcPr>
          <w:p>
            <w:pPr>
              <w:spacing w:before="60" w:after="60"/>
              <w:jc w:val="center"/>
            </w:pPr>
            <w:r>
              <w:rPr>
                <w:sz w:val="19"/>
              </w:rPr>
              <w:t>0.6451</w:t>
            </w:r>
          </w:p>
        </w:tc>
        <w:tc>
          <w:tcPr>
            <w:tcW w:type="dxa" w:w="1560"/>
            <w:shd w:fill="F8FAFC"/>
          </w:tcPr>
          <w:p>
            <w:pPr>
              <w:spacing w:before="60" w:after="60"/>
              <w:jc w:val="center"/>
            </w:pPr>
            <w:r>
              <w:rPr>
                <w:sz w:val="19"/>
              </w:rPr>
              <w:t>1.20 ms</w:t>
            </w:r>
          </w:p>
        </w:tc>
        <w:tc>
          <w:tcPr>
            <w:tcW w:type="dxa" w:w="1560"/>
            <w:shd w:fill="F8FAFC"/>
          </w:tcPr>
          <w:p>
            <w:pPr>
              <w:spacing w:before="60" w:after="60"/>
              <w:jc w:val="center"/>
            </w:pPr>
            <w:r>
              <w:rPr>
                <w:sz w:val="19"/>
              </w:rPr>
              <w:t>4.8 MB</w:t>
            </w:r>
          </w:p>
        </w:tc>
      </w:tr>
      <w:tr>
        <w:tc>
          <w:tcPr>
            <w:tcW w:type="dxa" w:w="1560"/>
            <w:shd w:fill="FFFFFF"/>
          </w:tcPr>
          <w:p>
            <w:pPr>
              <w:spacing w:before="60" w:after="60"/>
            </w:pPr>
            <w:r>
              <w:rPr>
                <w:sz w:val="19"/>
              </w:rPr>
              <w:t>Bi-LSTM (Recurrent Neural Net)</w:t>
            </w:r>
          </w:p>
        </w:tc>
        <w:tc>
          <w:tcPr>
            <w:tcW w:type="dxa" w:w="1560"/>
            <w:shd w:fill="FFFFFF"/>
          </w:tcPr>
          <w:p>
            <w:pPr>
              <w:spacing w:before="60" w:after="60"/>
            </w:pPr>
            <w:r>
              <w:rPr>
                <w:sz w:val="19"/>
              </w:rPr>
              <w:t>Recurrent Deep Learning</w:t>
            </w:r>
          </w:p>
        </w:tc>
        <w:tc>
          <w:tcPr>
            <w:tcW w:type="dxa" w:w="1560"/>
            <w:shd w:fill="FFFFFF"/>
          </w:tcPr>
          <w:p>
            <w:pPr>
              <w:spacing w:before="60" w:after="60"/>
              <w:jc w:val="center"/>
            </w:pPr>
            <w:r>
              <w:rPr>
                <w:sz w:val="19"/>
              </w:rPr>
              <w:t>63.86%</w:t>
            </w:r>
          </w:p>
        </w:tc>
        <w:tc>
          <w:tcPr>
            <w:tcW w:type="dxa" w:w="1560"/>
            <w:shd w:fill="FFFFFF"/>
          </w:tcPr>
          <w:p>
            <w:pPr>
              <w:spacing w:before="60" w:after="60"/>
              <w:jc w:val="center"/>
            </w:pPr>
            <w:r>
              <w:rPr>
                <w:sz w:val="19"/>
              </w:rPr>
              <w:t>0.6342</w:t>
            </w:r>
          </w:p>
        </w:tc>
        <w:tc>
          <w:tcPr>
            <w:tcW w:type="dxa" w:w="1560"/>
            <w:shd w:fill="FFFFFF"/>
          </w:tcPr>
          <w:p>
            <w:pPr>
              <w:spacing w:before="60" w:after="60"/>
              <w:jc w:val="center"/>
            </w:pPr>
            <w:r>
              <w:rPr>
                <w:sz w:val="19"/>
              </w:rPr>
              <w:t>14.50 ms</w:t>
            </w:r>
          </w:p>
        </w:tc>
        <w:tc>
          <w:tcPr>
            <w:tcW w:type="dxa" w:w="1560"/>
            <w:shd w:fill="FFFFFF"/>
          </w:tcPr>
          <w:p>
            <w:pPr>
              <w:spacing w:before="60" w:after="60"/>
              <w:jc w:val="center"/>
            </w:pPr>
            <w:r>
              <w:rPr>
                <w:sz w:val="19"/>
              </w:rPr>
              <w:t>18.5 MB</w:t>
            </w:r>
          </w:p>
        </w:tc>
      </w:tr>
      <w:tr>
        <w:tc>
          <w:tcPr>
            <w:tcW w:type="dxa" w:w="1560"/>
            <w:shd w:fill="F8FAFC"/>
          </w:tcPr>
          <w:p>
            <w:pPr>
              <w:spacing w:before="60" w:after="60"/>
            </w:pPr>
            <w:r>
              <w:rPr>
                <w:sz w:val="19"/>
              </w:rPr>
              <w:t>DistilBERT (Fine-Tuned)</w:t>
            </w:r>
          </w:p>
        </w:tc>
        <w:tc>
          <w:tcPr>
            <w:tcW w:type="dxa" w:w="1560"/>
            <w:shd w:fill="F8FAFC"/>
          </w:tcPr>
          <w:p>
            <w:pPr>
              <w:spacing w:before="60" w:after="60"/>
            </w:pPr>
            <w:r>
              <w:rPr>
                <w:sz w:val="19"/>
              </w:rPr>
              <w:t>Transformer (Distilled)</w:t>
            </w:r>
          </w:p>
        </w:tc>
        <w:tc>
          <w:tcPr>
            <w:tcW w:type="dxa" w:w="1560"/>
            <w:shd w:fill="F8FAFC"/>
          </w:tcPr>
          <w:p>
            <w:pPr>
              <w:spacing w:before="60" w:after="60"/>
              <w:jc w:val="center"/>
            </w:pPr>
            <w:r>
              <w:rPr>
                <w:sz w:val="19"/>
              </w:rPr>
              <w:t>72.57%</w:t>
            </w:r>
          </w:p>
        </w:tc>
        <w:tc>
          <w:tcPr>
            <w:tcW w:type="dxa" w:w="1560"/>
            <w:shd w:fill="F8FAFC"/>
          </w:tcPr>
          <w:p>
            <w:pPr>
              <w:spacing w:before="60" w:after="60"/>
              <w:jc w:val="center"/>
            </w:pPr>
            <w:r>
              <w:rPr>
                <w:sz w:val="19"/>
              </w:rPr>
              <w:t>0.7221</w:t>
            </w:r>
          </w:p>
        </w:tc>
        <w:tc>
          <w:tcPr>
            <w:tcW w:type="dxa" w:w="1560"/>
            <w:shd w:fill="F8FAFC"/>
          </w:tcPr>
          <w:p>
            <w:pPr>
              <w:spacing w:before="60" w:after="60"/>
              <w:jc w:val="center"/>
            </w:pPr>
            <w:r>
              <w:rPr>
                <w:sz w:val="19"/>
              </w:rPr>
              <w:t>38.20 ms</w:t>
            </w:r>
          </w:p>
        </w:tc>
        <w:tc>
          <w:tcPr>
            <w:tcW w:type="dxa" w:w="1560"/>
            <w:shd w:fill="F8FAFC"/>
          </w:tcPr>
          <w:p>
            <w:pPr>
              <w:spacing w:before="60" w:after="60"/>
              <w:jc w:val="center"/>
            </w:pPr>
            <w:r>
              <w:rPr>
                <w:sz w:val="19"/>
              </w:rPr>
              <w:t>268.0 MB</w:t>
            </w:r>
          </w:p>
        </w:tc>
      </w:tr>
      <w:tr>
        <w:tc>
          <w:tcPr>
            <w:tcW w:type="dxa" w:w="1560"/>
            <w:shd w:fill="FFFFFF"/>
          </w:tcPr>
          <w:p>
            <w:pPr>
              <w:spacing w:before="60" w:after="60"/>
            </w:pPr>
            <w:r>
              <w:rPr>
                <w:sz w:val="19"/>
              </w:rPr>
              <w:t>Twitter-RoBERTa (Fine-Tuned)</w:t>
            </w:r>
          </w:p>
        </w:tc>
        <w:tc>
          <w:tcPr>
            <w:tcW w:type="dxa" w:w="1560"/>
            <w:shd w:fill="FFFFFF"/>
          </w:tcPr>
          <w:p>
            <w:pPr>
              <w:spacing w:before="60" w:after="60"/>
            </w:pPr>
            <w:r>
              <w:rPr>
                <w:sz w:val="19"/>
              </w:rPr>
              <w:t>Transformer (Domain-Adapted)</w:t>
            </w:r>
          </w:p>
        </w:tc>
        <w:tc>
          <w:tcPr>
            <w:tcW w:type="dxa" w:w="1560"/>
            <w:shd w:fill="FFFFFF"/>
          </w:tcPr>
          <w:p>
            <w:pPr>
              <w:spacing w:before="60" w:after="60"/>
              <w:jc w:val="center"/>
            </w:pPr>
            <w:r>
              <w:rPr>
                <w:sz w:val="19"/>
              </w:rPr>
              <w:t>74.12%</w:t>
            </w:r>
          </w:p>
        </w:tc>
        <w:tc>
          <w:tcPr>
            <w:tcW w:type="dxa" w:w="1560"/>
            <w:shd w:fill="FFFFFF"/>
          </w:tcPr>
          <w:p>
            <w:pPr>
              <w:spacing w:before="60" w:after="60"/>
              <w:jc w:val="center"/>
            </w:pPr>
            <w:r>
              <w:rPr>
                <w:sz w:val="19"/>
              </w:rPr>
              <w:t>0.7389</w:t>
            </w:r>
          </w:p>
        </w:tc>
        <w:tc>
          <w:tcPr>
            <w:tcW w:type="dxa" w:w="1560"/>
            <w:shd w:fill="FFFFFF"/>
          </w:tcPr>
          <w:p>
            <w:pPr>
              <w:spacing w:before="60" w:after="60"/>
              <w:jc w:val="center"/>
            </w:pPr>
            <w:r>
              <w:rPr>
                <w:sz w:val="19"/>
              </w:rPr>
              <w:t>72.40 ms</w:t>
            </w:r>
          </w:p>
        </w:tc>
        <w:tc>
          <w:tcPr>
            <w:tcW w:type="dxa" w:w="1560"/>
            <w:shd w:fill="FFFFFF"/>
          </w:tcPr>
          <w:p>
            <w:pPr>
              <w:spacing w:before="60" w:after="60"/>
              <w:jc w:val="center"/>
            </w:pPr>
            <w:r>
              <w:rPr>
                <w:sz w:val="19"/>
              </w:rPr>
              <w:t>499.0 MB</w:t>
            </w:r>
          </w:p>
        </w:tc>
      </w:tr>
    </w:tbl>
    <w:p>
      <w:pPr>
        <w:spacing w:after="160"/>
      </w:pPr>
    </w:p>
    <w:p>
      <w:pPr>
        <w:spacing w:after="120" w:line="276" w:lineRule="auto"/>
      </w:pPr>
      <w:r>
        <w:rPr>
          <w:b/>
          <w:color w:val="1A365D"/>
        </w:rPr>
        <w:t xml:space="preserve">Baseline Performance Analysis: </w:t>
      </w:r>
      <w:r>
        <w:t>Key Finding: Logistic Regression achieved the highest performance among non-transformer baselines, delivering 66.67% accuracy and 0.6451 Macro F1. While Bi-LSTM achieved competitive recall on the negative class (69.45%), its overall macro F1 (0.6342) was constrained by lower neutral class precision.</w:t>
      </w:r>
    </w:p>
    <w:p>
      <w:pPr>
        <w:keepNext/>
        <w:spacing w:before="360" w:after="120"/>
      </w:pPr>
      <w:r>
        <w:rPr>
          <w:rFonts w:ascii="Calibri" w:hAnsi="Calibri"/>
          <w:b/>
          <w:color w:val="1A365D"/>
          <w:sz w:val="36"/>
        </w:rPr>
        <w:t>3. Visualization &amp; Empirical Insights</w:t>
      </w:r>
    </w:p>
    <w:p>
      <w:pPr>
        <w:spacing w:after="120" w:line="276" w:lineRule="auto"/>
      </w:pPr>
      <w:r>
        <w:t>SentimentScope includes an automated visualization engine (`src/visualize.py`) that generates 8 publication-ready figures. Below are the primary visual assets demonstrating error distributions, cross-validation stability, calibration performance, and inference latency.</w:t>
      </w:r>
    </w:p>
    <w:p>
      <w:pPr>
        <w:spacing w:before="160" w:after="40"/>
        <w:jc w:val="center"/>
      </w:pPr>
      <w:r>
        <w:drawing>
          <wp:inline xmlns:a="http://schemas.openxmlformats.org/drawingml/2006/main" xmlns:pic="http://schemas.openxmlformats.org/drawingml/2006/picture">
            <wp:extent cx="5303520" cy="1585833"/>
            <wp:docPr id="1" name="Picture 1"/>
            <wp:cNvGraphicFramePr>
              <a:graphicFrameLocks noChangeAspect="1"/>
            </wp:cNvGraphicFramePr>
            <a:graphic>
              <a:graphicData uri="http://schemas.openxmlformats.org/drawingml/2006/picture">
                <pic:pic>
                  <pic:nvPicPr>
                    <pic:cNvPr id="0" name="01_confusion_matrices.png"/>
                    <pic:cNvPicPr/>
                  </pic:nvPicPr>
                  <pic:blipFill>
                    <a:blip r:embed="rId9"/>
                    <a:stretch>
                      <a:fillRect/>
                    </a:stretch>
                  </pic:blipFill>
                  <pic:spPr>
                    <a:xfrm>
                      <a:off x="0" y="0"/>
                      <a:ext cx="5303520" cy="1585833"/>
                    </a:xfrm>
                    <a:prstGeom prst="rect"/>
                  </pic:spPr>
                </pic:pic>
              </a:graphicData>
            </a:graphic>
          </wp:inline>
        </w:drawing>
      </w:r>
    </w:p>
    <w:p>
      <w:pPr>
        <w:spacing w:after="240"/>
        <w:jc w:val="center"/>
      </w:pPr>
      <w:r>
        <w:rPr>
          <w:i/>
          <w:color w:val="334155"/>
          <w:sz w:val="19"/>
        </w:rPr>
        <w:t>Figure 1: Confusion Matrix Heatmaps for Multinomial Naive Bayes, Logistic Regression, and Bi-LSTM on Held-Out Test Set (8,947 tweets).</w:t>
      </w:r>
    </w:p>
    <w:p>
      <w:pPr>
        <w:spacing w:before="160" w:after="40"/>
        <w:jc w:val="center"/>
      </w:pPr>
      <w:r>
        <w:drawing>
          <wp:inline xmlns:a="http://schemas.openxmlformats.org/drawingml/2006/main" xmlns:pic="http://schemas.openxmlformats.org/drawingml/2006/picture">
            <wp:extent cx="5303520" cy="2891043"/>
            <wp:docPr id="2" name="Picture 2"/>
            <wp:cNvGraphicFramePr>
              <a:graphicFrameLocks noChangeAspect="1"/>
            </wp:cNvGraphicFramePr>
            <a:graphic>
              <a:graphicData uri="http://schemas.openxmlformats.org/drawingml/2006/picture">
                <pic:pic>
                  <pic:nvPicPr>
                    <pic:cNvPr id="0" name="02_model_accuracy_f1_comparison.png"/>
                    <pic:cNvPicPr/>
                  </pic:nvPicPr>
                  <pic:blipFill>
                    <a:blip r:embed="rId10"/>
                    <a:stretch>
                      <a:fillRect/>
                    </a:stretch>
                  </pic:blipFill>
                  <pic:spPr>
                    <a:xfrm>
                      <a:off x="0" y="0"/>
                      <a:ext cx="5303520" cy="2891043"/>
                    </a:xfrm>
                    <a:prstGeom prst="rect"/>
                  </pic:spPr>
                </pic:pic>
              </a:graphicData>
            </a:graphic>
          </wp:inline>
        </w:drawing>
      </w:r>
    </w:p>
    <w:p>
      <w:pPr>
        <w:spacing w:after="240"/>
        <w:jc w:val="center"/>
      </w:pPr>
      <w:r>
        <w:rPr>
          <w:i/>
          <w:color w:val="334155"/>
          <w:sz w:val="19"/>
        </w:rPr>
        <w:t>Figure 2: Test Accuracy vs Macro F1 Score Comparison across Baseline and Transformer Models.</w:t>
      </w:r>
    </w:p>
    <w:p>
      <w:pPr>
        <w:spacing w:before="160" w:after="40"/>
        <w:jc w:val="center"/>
      </w:pPr>
      <w:r>
        <w:drawing>
          <wp:inline xmlns:a="http://schemas.openxmlformats.org/drawingml/2006/main" xmlns:pic="http://schemas.openxmlformats.org/drawingml/2006/picture">
            <wp:extent cx="5303520" cy="2624188"/>
            <wp:docPr id="3" name="Picture 3"/>
            <wp:cNvGraphicFramePr>
              <a:graphicFrameLocks noChangeAspect="1"/>
            </wp:cNvGraphicFramePr>
            <a:graphic>
              <a:graphicData uri="http://schemas.openxmlformats.org/drawingml/2006/picture">
                <pic:pic>
                  <pic:nvPicPr>
                    <pic:cNvPr id="0" name="03_class_level_f1_breakdown.png"/>
                    <pic:cNvPicPr/>
                  </pic:nvPicPr>
                  <pic:blipFill>
                    <a:blip r:embed="rId11"/>
                    <a:stretch>
                      <a:fillRect/>
                    </a:stretch>
                  </pic:blipFill>
                  <pic:spPr>
                    <a:xfrm>
                      <a:off x="0" y="0"/>
                      <a:ext cx="5303520" cy="2624188"/>
                    </a:xfrm>
                    <a:prstGeom prst="rect"/>
                  </pic:spPr>
                </pic:pic>
              </a:graphicData>
            </a:graphic>
          </wp:inline>
        </w:drawing>
      </w:r>
    </w:p>
    <w:p>
      <w:pPr>
        <w:spacing w:after="240"/>
        <w:jc w:val="center"/>
      </w:pPr>
      <w:r>
        <w:rPr>
          <w:i/>
          <w:color w:val="334155"/>
          <w:sz w:val="19"/>
        </w:rPr>
        <w:t>Figure 3: Per-Class F1 Score Breakdown (Negative vs Neutral vs Positive).</w:t>
      </w:r>
    </w:p>
    <w:p>
      <w:pPr>
        <w:spacing w:before="160" w:after="40"/>
        <w:jc w:val="center"/>
      </w:pPr>
      <w:r>
        <w:drawing>
          <wp:inline xmlns:a="http://schemas.openxmlformats.org/drawingml/2006/main" xmlns:pic="http://schemas.openxmlformats.org/drawingml/2006/picture">
            <wp:extent cx="5303520" cy="2929792"/>
            <wp:docPr id="4" name="Picture 4"/>
            <wp:cNvGraphicFramePr>
              <a:graphicFrameLocks noChangeAspect="1"/>
            </wp:cNvGraphicFramePr>
            <a:graphic>
              <a:graphicData uri="http://schemas.openxmlformats.org/drawingml/2006/picture">
                <pic:pic>
                  <pic:nvPicPr>
                    <pic:cNvPr id="0" name="05_negative_class_recall_boost.png"/>
                    <pic:cNvPicPr/>
                  </pic:nvPicPr>
                  <pic:blipFill>
                    <a:blip r:embed="rId12"/>
                    <a:stretch>
                      <a:fillRect/>
                    </a:stretch>
                  </pic:blipFill>
                  <pic:spPr>
                    <a:xfrm>
                      <a:off x="0" y="0"/>
                      <a:ext cx="5303520" cy="2929792"/>
                    </a:xfrm>
                    <a:prstGeom prst="rect"/>
                  </pic:spPr>
                </pic:pic>
              </a:graphicData>
            </a:graphic>
          </wp:inline>
        </w:drawing>
      </w:r>
    </w:p>
    <w:p>
      <w:pPr>
        <w:spacing w:after="240"/>
        <w:jc w:val="center"/>
      </w:pPr>
      <w:r>
        <w:rPr>
          <w:i/>
          <w:color w:val="334155"/>
          <w:sz w:val="19"/>
        </w:rPr>
        <w:t>Figure 4: Impact of Class Weighting on Minority Negative Class Recall.</w:t>
      </w:r>
    </w:p>
    <w:p>
      <w:pPr>
        <w:spacing w:before="160" w:after="40"/>
        <w:jc w:val="center"/>
      </w:pPr>
      <w:r>
        <w:drawing>
          <wp:inline xmlns:a="http://schemas.openxmlformats.org/drawingml/2006/main" xmlns:pic="http://schemas.openxmlformats.org/drawingml/2006/picture">
            <wp:extent cx="5303520" cy="2949384"/>
            <wp:docPr id="5" name="Picture 5"/>
            <wp:cNvGraphicFramePr>
              <a:graphicFrameLocks noChangeAspect="1"/>
            </wp:cNvGraphicFramePr>
            <a:graphic>
              <a:graphicData uri="http://schemas.openxmlformats.org/drawingml/2006/picture">
                <pic:pic>
                  <pic:nvPicPr>
                    <pic:cNvPr id="0" name="06_cross_validation_f1.png"/>
                    <pic:cNvPicPr/>
                  </pic:nvPicPr>
                  <pic:blipFill>
                    <a:blip r:embed="rId13"/>
                    <a:stretch>
                      <a:fillRect/>
                    </a:stretch>
                  </pic:blipFill>
                  <pic:spPr>
                    <a:xfrm>
                      <a:off x="0" y="0"/>
                      <a:ext cx="5303520" cy="2949384"/>
                    </a:xfrm>
                    <a:prstGeom prst="rect"/>
                  </pic:spPr>
                </pic:pic>
              </a:graphicData>
            </a:graphic>
          </wp:inline>
        </w:drawing>
      </w:r>
    </w:p>
    <w:p>
      <w:pPr>
        <w:spacing w:after="240"/>
        <w:jc w:val="center"/>
      </w:pPr>
      <w:r>
        <w:rPr>
          <w:i/>
          <w:color w:val="334155"/>
          <w:sz w:val="19"/>
        </w:rPr>
        <w:t>Figure 5: 5-Fold Stratified Cross-Validation Macro F1 Score Distributions.</w:t>
      </w:r>
    </w:p>
    <w:p>
      <w:pPr>
        <w:spacing w:before="160" w:after="40"/>
        <w:jc w:val="center"/>
      </w:pPr>
      <w:r>
        <w:drawing>
          <wp:inline xmlns:a="http://schemas.openxmlformats.org/drawingml/2006/main" xmlns:pic="http://schemas.openxmlformats.org/drawingml/2006/picture">
            <wp:extent cx="5303520" cy="3375200"/>
            <wp:docPr id="6" name="Picture 6"/>
            <wp:cNvGraphicFramePr>
              <a:graphicFrameLocks noChangeAspect="1"/>
            </wp:cNvGraphicFramePr>
            <a:graphic>
              <a:graphicData uri="http://schemas.openxmlformats.org/drawingml/2006/picture">
                <pic:pic>
                  <pic:nvPicPr>
                    <pic:cNvPr id="0" name="07_calibration_brier_scores.png"/>
                    <pic:cNvPicPr/>
                  </pic:nvPicPr>
                  <pic:blipFill>
                    <a:blip r:embed="rId14"/>
                    <a:stretch>
                      <a:fillRect/>
                    </a:stretch>
                  </pic:blipFill>
                  <pic:spPr>
                    <a:xfrm>
                      <a:off x="0" y="0"/>
                      <a:ext cx="5303520" cy="3375200"/>
                    </a:xfrm>
                    <a:prstGeom prst="rect"/>
                  </pic:spPr>
                </pic:pic>
              </a:graphicData>
            </a:graphic>
          </wp:inline>
        </w:drawing>
      </w:r>
    </w:p>
    <w:p>
      <w:pPr>
        <w:spacing w:after="240"/>
        <w:jc w:val="center"/>
      </w:pPr>
      <w:r>
        <w:rPr>
          <w:i/>
          <w:color w:val="334155"/>
          <w:sz w:val="19"/>
        </w:rPr>
        <w:t>Figure 6: Probability Calibration — Uncalibrated vs Sigmoid vs Isotonic Scaling Brier Scores.</w:t>
      </w:r>
    </w:p>
    <w:p>
      <w:pPr>
        <w:spacing w:before="160" w:after="40"/>
        <w:jc w:val="center"/>
      </w:pPr>
      <w:r>
        <w:drawing>
          <wp:inline xmlns:a="http://schemas.openxmlformats.org/drawingml/2006/main" xmlns:pic="http://schemas.openxmlformats.org/drawingml/2006/picture">
            <wp:extent cx="5303520" cy="2901628"/>
            <wp:docPr id="7" name="Picture 7"/>
            <wp:cNvGraphicFramePr>
              <a:graphicFrameLocks noChangeAspect="1"/>
            </wp:cNvGraphicFramePr>
            <a:graphic>
              <a:graphicData uri="http://schemas.openxmlformats.org/drawingml/2006/picture">
                <pic:pic>
                  <pic:nvPicPr>
                    <pic:cNvPr id="0" name="08_cpu_latency_vs_f1_tradeoff.png"/>
                    <pic:cNvPicPr/>
                  </pic:nvPicPr>
                  <pic:blipFill>
                    <a:blip r:embed="rId15"/>
                    <a:stretch>
                      <a:fillRect/>
                    </a:stretch>
                  </pic:blipFill>
                  <pic:spPr>
                    <a:xfrm>
                      <a:off x="0" y="0"/>
                      <a:ext cx="5303520" cy="2901628"/>
                    </a:xfrm>
                    <a:prstGeom prst="rect"/>
                  </pic:spPr>
                </pic:pic>
              </a:graphicData>
            </a:graphic>
          </wp:inline>
        </w:drawing>
      </w:r>
    </w:p>
    <w:p>
      <w:pPr>
        <w:spacing w:after="240"/>
        <w:jc w:val="center"/>
      </w:pPr>
      <w:r>
        <w:rPr>
          <w:i/>
          <w:color w:val="334155"/>
          <w:sz w:val="19"/>
        </w:rPr>
        <w:t>Figure 7: Pareto Efficiency Curve — CPU Inference Latency (ms) vs Macro F1 Score.</w:t>
      </w:r>
    </w:p>
    <w:p>
      <w:pPr>
        <w:keepNext/>
        <w:spacing w:before="360" w:after="120"/>
      </w:pPr>
      <w:r>
        <w:rPr>
          <w:rFonts w:ascii="Calibri" w:hAnsi="Calibri"/>
          <w:b/>
          <w:color w:val="1A365D"/>
          <w:sz w:val="36"/>
        </w:rPr>
        <w:t>4. Report Clarity, Business Context &amp; Submission Details</w:t>
      </w:r>
    </w:p>
    <w:p>
      <w:pPr>
        <w:spacing w:after="120" w:line="276" w:lineRule="auto"/>
      </w:pPr>
      <w:r>
        <w:rPr>
          <w:b/>
          <w:color w:val="1A365D"/>
        </w:rPr>
        <w:t xml:space="preserve">Dataset Clarification: </w:t>
      </w:r>
      <w:r>
        <w:t>Dataset Submission Note: The CardiffNLP TweetEval dataset used in SentimentScope is a public benchmark. Per project submission guidelines, no raw dataset files need to be attached; the dataset splits are automatically fetched and saved in `data/processed/` upon executing `src/data_loader.py`.</w:t>
      </w:r>
    </w:p>
    <w:p>
      <w:pPr>
        <w:keepNext/>
        <w:spacing w:before="240" w:after="80"/>
      </w:pPr>
      <w:r>
        <w:rPr>
          <w:rFonts w:ascii="Calibri" w:hAnsi="Calibri"/>
          <w:b/>
          <w:color w:val="0D9488"/>
          <w:sz w:val="28"/>
        </w:rPr>
        <w:t>Production Deployment &amp; Architecture Recommendation</w:t>
      </w:r>
    </w:p>
    <w:p>
      <w:pPr>
        <w:spacing w:after="120" w:line="276" w:lineRule="auto"/>
      </w:pPr>
      <w:r>
        <w:t>For production deployment in high-throughput social media monitoring, a single model architecture rarely satisfies all business constraints. We recommend a Hybrid Tiered Architecture:</w:t>
        <w:br/>
        <w:t>1. Tier 1 (Fast Streaming Feed): Deploy Logistic Regression (TF-IDF 20k) on live API servers. It processes 1,000 tweets in under 1.2 seconds with 66.67% accuracy.</w:t>
        <w:br/>
        <w:t>2. Tier 2 (Offline High-Precision Batching): For flagged customer complaints or edge-cases where confidence is below 55%, route samples asynchronously to fine-tuned Twitter-RoBERTa.</w:t>
      </w:r>
    </w:p>
    <w:p>
      <w:pPr>
        <w:keepNext/>
        <w:spacing w:before="360" w:after="120"/>
      </w:pPr>
      <w:r>
        <w:rPr>
          <w:rFonts w:ascii="Calibri" w:hAnsi="Calibri"/>
          <w:b/>
          <w:color w:val="1A365D"/>
          <w:sz w:val="36"/>
        </w:rPr>
        <w:t>5. Innovation &amp; Advanced Technical Features</w:t>
      </w:r>
    </w:p>
    <w:p>
      <w:pPr>
        <w:spacing w:after="120" w:line="276" w:lineRule="auto"/>
      </w:pPr>
      <w:r>
        <w:t>SentimentScope incorporates several high-impact technical innovations beyond standard baseline modeling:</w:t>
      </w:r>
    </w:p>
    <w:p>
      <w:pPr>
        <w:spacing w:after="120" w:line="276" w:lineRule="auto"/>
      </w:pPr>
      <w:r>
        <w:rPr>
          <w:b/>
          <w:color w:val="1A365D"/>
        </w:rPr>
        <w:t xml:space="preserve">1. Negation-Preserving NLP Pipeline: </w:t>
      </w:r>
      <w:r>
        <w:t>Standard NLP stop-word filters strip words like 'not' and 'never'. Our custom regex pipeline preserves negation boundaries, preventing false-positive sentiment flips on phrases like 'not bad' or 'never again'.</w:t>
      </w:r>
    </w:p>
    <w:p>
      <w:pPr>
        <w:spacing w:after="120" w:line="276" w:lineRule="auto"/>
      </w:pPr>
      <w:r>
        <w:rPr>
          <w:b/>
          <w:color w:val="1A365D"/>
        </w:rPr>
        <w:t xml:space="preserve">2. Probability Calibration &amp; Brier Score Tuning: </w:t>
      </w:r>
      <w:r>
        <w:t>Raw classification probabilities are often overconfident. Using Sigmoid Platt Scaling, Brier score error decreased from 0.4688 to 0.4581, yielding reliable risk-calibrated predictions.</w:t>
      </w:r>
    </w:p>
    <w:p>
      <w:pPr>
        <w:spacing w:after="120" w:line="276" w:lineRule="auto"/>
      </w:pPr>
      <w:r>
        <w:rPr>
          <w:b/>
          <w:color w:val="1A365D"/>
        </w:rPr>
        <w:t xml:space="preserve">3. Transformer Fine-Tuning (DistilBERT &amp; RoBERTa): </w:t>
      </w:r>
      <w:r>
        <w:t>Fine-tuned DistilBERT (72.57% Acc) and Twitter-RoBERTa (74.12% Acc) establish clear upper-bound performance benchmarks against traditional statistical methods.</w:t>
      </w:r>
    </w:p>
    <w:p>
      <w:pPr>
        <w:spacing w:after="120" w:line="276" w:lineRule="auto"/>
      </w:pPr>
      <w:r>
        <w:rPr>
          <w:b/>
          <w:color w:val="1A365D"/>
        </w:rPr>
        <w:t xml:space="preserve">4. Real-Time Interactive Web Dashboard: </w:t>
      </w:r>
      <w:r>
        <w:t>Integrated an asynchronous FastAPI backend connected to a glassmorphism Chart.js web interface featuring live streaming metrics, batch CSV uploads, and dynamic donut chart rendering.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