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080000" cy="1080000"/>
            <wp:docPr id="1" name="Picture 1"/>
            <wp:cNvGraphicFramePr>
              <a:graphicFrameLocks noChangeAspect="1"/>
            </wp:cNvGraphicFramePr>
            <a:graphic>
              <a:graphicData uri="http://schemas.openxmlformats.org/drawingml/2006/picture">
                <pic:pic>
                  <pic:nvPicPr>
                    <pic:cNvPr id="0" name="logo_chat_ai.png"/>
                    <pic:cNvPicPr/>
                  </pic:nvPicPr>
                  <pic:blipFill>
                    <a:blip r:embed="rId11"/>
                    <a:stretch>
                      <a:fillRect/>
                    </a:stretch>
                  </pic:blipFill>
                  <pic:spPr>
                    <a:xfrm>
                      <a:off x="0" y="0"/>
                      <a:ext cx="1080000" cy="1080000"/>
                    </a:xfrm>
                    <a:prstGeom prst="rect"/>
                  </pic:spPr>
                </pic:pic>
              </a:graphicData>
            </a:graphic>
          </wp:inline>
        </w:drawing>
      </w:r>
    </w:p>
    <w:p>
      <w:pPr>
        <w:pStyle w:val="Title"/>
        <w:jc w:val="center"/>
      </w:pPr>
      <w:r>
        <w:t>GIAO VIỆC KỸ THUẬT CHO CHAT AI</w:t>
      </w:r>
    </w:p>
    <w:p>
      <w:pPr>
        <w:jc w:val="center"/>
      </w:pPr>
      <w:r>
        <w:t>PLAXIS 2D/3D và GeoStudio • chuẩn bị, thực hiện, kiểm tra</w:t>
      </w:r>
    </w:p>
    <w:p>
      <w:pPr>
        <w:jc w:val="center"/>
      </w:pPr>
      <w:r>
        <w:t>Bộ tài liệu sử dụng • cập nhật 11/10/2026</w:t>
      </w:r>
    </w:p>
    <w:p>
      <w:r>
        <w:t>Phạm vi: Desktop 2.6.6 và Android thử nghiệm 0.8; bao gồm luồng dùng thử mới trong mã nguồn hướng dẫn. Tên nút có thể khác nhẹ theo bản cài. Chức năng cần client và server tương thích; chỉ dẫn dưới đây không chứng nhận đã kiểm thử mọi môi trường thực tế.</w:t>
      </w:r>
    </w:p>
    <w:p>
      <w:pPr>
        <w:pStyle w:val="Heading1"/>
      </w:pPr>
      <w:r>
        <w:t>Tra cứu trong tài liệu</w:t>
      </w:r>
    </w:p>
    <w:p>
      <w:r>
        <w:t>1. Điều kiện chung</w:t>
      </w:r>
    </w:p>
    <w:p>
      <w:r>
        <w:t>2. Mẫu yêu cầu PLAXIS</w:t>
      </w:r>
    </w:p>
    <w:p>
      <w:r>
        <w:t>3. Kết nối PLAXIS</w:t>
      </w:r>
    </w:p>
    <w:p>
      <w:r>
        <w:t>4. Kiểm tra mô hình trước tính</w:t>
      </w:r>
    </w:p>
    <w:p>
      <w:r>
        <w:t>5. Dữ liệu GeoStudio cần chuẩn bị</w:t>
      </w:r>
    </w:p>
    <w:p>
      <w:r>
        <w:t>6. Địa tầng và Co/Su</w:t>
      </w:r>
    </w:p>
    <w:p>
      <w:r>
        <w:t>7. Chạy và đọc kết quả mới</w:t>
      </w:r>
    </w:p>
    <w:p>
      <w:r>
        <w:t>8. Tiếp tục sau lỗi</w:t>
      </w:r>
    </w:p>
    <w:p>
      <w:r>
        <w:br w:type="page"/>
      </w:r>
    </w:p>
    <w:p>
      <w:pPr>
        <w:pStyle w:val="Heading1"/>
      </w:pPr>
      <w:r>
        <w:t>1. Điều kiện chung</w:t>
      </w:r>
    </w:p>
    <w:p>
      <w:r>
        <w:t>ChatAI hỗ trợ tự động hóa trên máy đã có phần mềm và công cụ kết nối. Khả năng phụ thuộc phiên bản, giấy phép, API, giao diện và dữ liệu thực; không bảo đảm mọi bài có thể tự chạy trọn vẹn.</w:t>
      </w:r>
    </w:p>
    <w:p>
      <w:r>
        <w:t>1. Sao lưu dữ liệu và mô hình hiện có.</w:t>
      </w:r>
    </w:p>
    <w:p>
      <w:r>
        <w:t>2. Chuẩn bị đề bài, tài liệu, đơn vị, phiên bản phần mềm và tiêu chí đầu ra.</w:t>
      </w:r>
    </w:p>
    <w:p>
      <w:r>
        <w:t>3. Cấp thư mục dữ liệu cho ChatAI.</w:t>
      </w:r>
    </w:p>
    <w:p>
      <w:r>
        <w:t>4. Chuẩn bị dự án mới/bản sao; ghi rõ không ghi đè mô hình đang mở.</w:t>
      </w:r>
    </w:p>
    <w:p>
      <w:r>
        <w:t>5. Chỉ cho phép tính sau khi đối chiếu đầu vào và phạm vi mô hình.</w:t>
      </w:r>
    </w:p>
    <w:p>
      <w:pPr>
        <w:pStyle w:val="Heading1"/>
      </w:pPr>
      <w:r>
        <w:t>2. Mẫu yêu cầu PLAXIS</w:t>
      </w:r>
    </w:p>
    <w:p>
      <w:r>
        <w:t>“Dùng PLAXIS 2D [phiên bản], dựng bài [tên/chương] theo manual [file]. Tạo project mới tại [đường dẫn], giữ nguyên mô hình khác. Đọc đủ hình học, vật liệu, nước, kết cấu, tải và các pha. Tự tra API đúng phiên bản, kiểm tra từng bước và đọc kết quả số. Nếu thiếu dữ liệu làm thay đổi mô hình thì hỏi, không tự thay bằng bài mẫu khác.”</w:t>
      </w:r>
    </w:p>
    <w:p>
      <w:r>
        <w:t>Với 3D cần đủ kích thước theo các phương và tải/kết cấu 3D. Không lấy bài 2D đùn sang 3D nếu chiều dài hoặc điều kiện chưa có trong đề.</w:t>
      </w:r>
    </w:p>
    <w:p>
      <w:pPr>
        <w:pStyle w:val="Heading1"/>
      </w:pPr>
      <w:r>
        <w:t>3. Kết nối PLAXIS</w:t>
      </w:r>
    </w:p>
    <w:p>
      <w:r>
        <w:t>1. Mở đúng PLAXIS Input đã cài, không mở file Setup thay phần mềm.</w:t>
      </w:r>
    </w:p>
    <w:p>
      <w:r>
        <w:t>2. Trong Expert → Configure remote scripting server, cấu hình server theo phiên bản và giấy phép.</w:t>
      </w:r>
    </w:p>
    <w:p>
      <w:r>
        <w:t>3. Đối chiếu cổng và thông tin xác thực với ChatAI. Input/Output thường dùng 10000/10001 trong cấu hình dự án, nhưng phải kiểm tra thực tế.</w:t>
      </w:r>
    </w:p>
    <w:p>
      <w:r>
        <w:t>4. Yêu cầu AI đọc project, phiên bản và các đối tượng hiện có trước khi tạo/sửa.</w:t>
      </w:r>
    </w:p>
    <w:p>
      <w:r>
        <w:t>5. Khi lỗi lệnh, đọc phần đã hoàn thành; không chạy lại toàn bộ batch tạo đối tượng.</w:t>
      </w:r>
    </w:p>
    <w:p>
      <w:r>
        <w:t>Tra API cần cả lệnh gốc lẫn đối tượng con và tài liệu đúng phiên bản. Không kết luận một chức năng hoàn toàn không có chỉ từ một thuộc tính đọc-only. Nếu API không đáp ứng, xem phương án giao diện hoặc hỏi thao tác tối thiểu còn thiếu.</w:t>
      </w:r>
    </w:p>
    <w:p>
      <w:pPr>
        <w:pStyle w:val="Heading1"/>
      </w:pPr>
      <w:r>
        <w:t>4. Kiểm tra mô hình trước tính</w:t>
      </w:r>
    </w:p>
    <w:tbl>
      <w:tblPr>
        <w:tblStyle w:val="LightShading-Accent1"/>
        <w:tblW w:type="auto" w:w="0"/>
        <w:tblLook w:firstColumn="1" w:firstRow="1" w:lastColumn="0" w:lastRow="0" w:noHBand="0" w:noVBand="1" w:val="04A0"/>
      </w:tblPr>
      <w:tblGrid>
        <w:gridCol w:w="4734"/>
        <w:gridCol w:w="4734"/>
      </w:tblGrid>
      <w:tr>
        <w:trPr>
          <w:tblHeader/>
        </w:trPr>
        <w:tc>
          <w:tcPr>
            <w:tcW w:type="dxa" w:w="4734"/>
          </w:tcPr>
          <w:p>
            <w:r>
              <w:t>Nhóm</w:t>
            </w:r>
          </w:p>
        </w:tc>
        <w:tc>
          <w:tcPr>
            <w:tcW w:type="dxa" w:w="4734"/>
          </w:tcPr>
          <w:p>
            <w:r>
              <w:t>Kiểm tra</w:t>
            </w:r>
          </w:p>
        </w:tc>
      </w:tr>
      <w:tr>
        <w:trPr>
          <w:cantSplit/>
        </w:trPr>
        <w:tc>
          <w:tcPr>
            <w:tcW w:type="dxa" w:w="4734"/>
          </w:tcPr>
          <w:p>
            <w:r>
              <w:t>Hình học</w:t>
            </w:r>
          </w:p>
        </w:tc>
        <w:tc>
          <w:tcPr>
            <w:tcW w:type="dxa" w:w="4734"/>
          </w:tcPr>
          <w:p>
            <w:r>
              <w:t>Miền đất, mặt cắt, cao độ, chiều dài 3D, vùng đào/đắp và giao nhau</w:t>
            </w:r>
          </w:p>
        </w:tc>
      </w:tr>
      <w:tr>
        <w:trPr>
          <w:cantSplit/>
        </w:trPr>
        <w:tc>
          <w:tcPr>
            <w:tcW w:type="dxa" w:w="4734"/>
          </w:tcPr>
          <w:p>
            <w:r>
              <w:t>Vật liệu</w:t>
            </w:r>
          </w:p>
        </w:tc>
        <w:tc>
          <w:tcPr>
            <w:tcW w:type="dxa" w:w="4734"/>
          </w:tcPr>
          <w:p>
            <w:r>
              <w:t>Mô hình đất, dung trọng, độ cứng, c/φ hoặc Su, thoát nước, OCR/POP và đơn vị</w:t>
            </w:r>
          </w:p>
        </w:tc>
      </w:tr>
      <w:tr>
        <w:trPr>
          <w:cantSplit/>
        </w:trPr>
        <w:tc>
          <w:tcPr>
            <w:tcW w:type="dxa" w:w="4734"/>
          </w:tcPr>
          <w:p>
            <w:r>
              <w:t>Nước, biên, tải</w:t>
            </w:r>
          </w:p>
        </w:tc>
        <w:tc>
          <w:tcPr>
            <w:tcW w:type="dxa" w:w="4734"/>
          </w:tcPr>
          <w:p>
            <w:r>
              <w:t>Mực nước, điều kiện biên, tải mặt/kết cấu theo đề</w:t>
            </w:r>
          </w:p>
        </w:tc>
      </w:tr>
      <w:tr>
        <w:trPr>
          <w:cantSplit/>
        </w:trPr>
        <w:tc>
          <w:tcPr>
            <w:tcW w:type="dxa" w:w="4734"/>
          </w:tcPr>
          <w:p>
            <w:r>
              <w:t>Kết cấu</w:t>
            </w:r>
          </w:p>
        </w:tc>
        <w:tc>
          <w:tcPr>
            <w:tcW w:type="dxa" w:w="4734"/>
          </w:tcPr>
          <w:p>
            <w:r>
              <w:t>Tường, cọc, neo, chống, tunnel/interface/contraction đúng đối tượng</w:t>
            </w:r>
          </w:p>
        </w:tc>
      </w:tr>
      <w:tr>
        <w:trPr>
          <w:cantSplit/>
        </w:trPr>
        <w:tc>
          <w:tcPr>
            <w:tcW w:type="dxa" w:w="4734"/>
          </w:tcPr>
          <w:p>
            <w:r>
              <w:t>Các pha</w:t>
            </w:r>
          </w:p>
        </w:tc>
        <w:tc>
          <w:tcPr>
            <w:tcW w:type="dxa" w:w="4734"/>
          </w:tcPr>
          <w:p>
            <w:r>
              <w:t>Start from phase, kích hoạt/tắt và vật liệu của từng pha</w:t>
            </w:r>
          </w:p>
        </w:tc>
      </w:tr>
      <w:tr>
        <w:trPr>
          <w:cantSplit/>
        </w:trPr>
        <w:tc>
          <w:tcPr>
            <w:tcW w:type="dxa" w:w="4734"/>
          </w:tcPr>
          <w:p>
            <w:r>
              <w:t>Lưới</w:t>
            </w:r>
          </w:p>
        </w:tc>
        <w:tc>
          <w:tcPr>
            <w:tcW w:type="dxa" w:w="4734"/>
          </w:tcPr>
          <w:p>
            <w:r>
              <w:t>Loại phần tử, mật độ/refinement và vùng quan tâm</w:t>
            </w:r>
          </w:p>
        </w:tc>
      </w:tr>
    </w:tbl>
    <w:p/>
    <w:p>
      <w:r>
        <w:t>Không đổi bài hố đào thành bờ đắp chỉ vì mẫu tự động chỉ hỗ trợ bờ đắp. Nếu đơn giản hóa, phải mô tả thành phần bỏ đi và được người dùng chấp nhận.</w:t>
      </w:r>
    </w:p>
    <w:p>
      <w:pPr>
        <w:pStyle w:val="Heading1"/>
      </w:pPr>
      <w:r>
        <w:t>5. Dữ liệu GeoStudio cần chuẩn bị</w:t>
      </w:r>
    </w:p>
    <w:p>
      <w:r>
        <w:t>1. Excel số liệu vật liệu: sheet, chỉ tiêu, đơn vị, nguồn thí nghiệm.</w:t>
      </w:r>
    </w:p>
    <w:p>
      <w:r>
        <w:t>2. Bảng tổng hợp xử lý/BTH: tên mặt cắt, địa tầng, bề dày, hố khoan liên quan.</w:t>
      </w:r>
    </w:p>
    <w:p>
      <w:r>
        <w:t>3. DXF: đường tự nhiên, đường thiết kế và các layer/đối tượng phân biệt rõ.</w:t>
      </w:r>
    </w:p>
    <w:p>
      <w:r>
        <w:t>4. GSZ mẫu nếu có: dùng để tham khảo cấu trúc/trình bày; không dùng kết quả cũ thay tính mới.</w:t>
      </w:r>
    </w:p>
    <w:p>
      <w:r>
        <w:t>5. Điều kiện nước, tải, giai đoạn, phương pháp ổn định và miền tìm trượt.</w:t>
      </w:r>
    </w:p>
    <w:p>
      <w:r>
        <w:t>Mẫu yêu cầu: “Mặt cắt [tên]. Đọc BTH để lấy địa tầng và bề dày; đọc SLTT để lấy chỉ tiêu có địa chỉ ô và đơn vị; đọc DXF để lấy hình học. GSZ chỉ là mẫu trình bày. Tạo bản mới, giữ nguồn, báo dữ kiện thiếu trước khi Solve.”</w:t>
      </w:r>
    </w:p>
    <w:p>
      <w:pPr>
        <w:pStyle w:val="Heading1"/>
      </w:pPr>
      <w:r>
        <w:t>6. Địa tầng và Co/Su</w:t>
      </w:r>
    </w:p>
    <w:p>
      <w:r>
        <w:t>Khi đề cho bề dày đứng không đổi và chấp nhận lớp song song đường tự nhiên, đường đáy lớp có thể dựng bằng dịch cao độ xuống theo tổng bề dày. Đây là dịch đứng, không phải OFFSET vuông góc; giữ các điểm gãy và kiểm tra vùng khép kín.</w:t>
      </w:r>
    </w:p>
    <w:p>
      <w:r>
        <w:t>Với hồ sơ mà người dùng xác nhận Co trong SLTT là Su, cần dùng đúng mô hình không thoát nước và φ=0 khi được chỉ định. Không coi Co luôn là Su cho mọi workbook; phải kiểm tra nguồn thí nghiệm và quy ước dự án. Bài thoát nước dùng c′/φ′ đúng nguồn.</w:t>
      </w:r>
    </w:p>
    <w:p>
      <w:r>
        <w:t>Không đổi ô trống, lỗi công thức hoặc thiếu cache thành số 0; không lấy vật liệu GSZ cũ để lấp chỗ thiếu nếu chưa được chấp nhận.</w:t>
      </w:r>
    </w:p>
    <w:p>
      <w:pPr>
        <w:pStyle w:val="Heading1"/>
      </w:pPr>
      <w:r>
        <w:t>7. Chạy và đọc kết quả mới</w:t>
      </w:r>
    </w:p>
    <w:p>
      <w:r>
        <w:t>1. Xác minh file dự án và analysis sẽ chạy.</w:t>
      </w:r>
    </w:p>
    <w:p>
      <w:r>
        <w:t>2. Theo dõi trạng thái tính toán đến hoàn tất/lỗi.</w:t>
      </w:r>
    </w:p>
    <w:p>
      <w:r>
        <w:t>3. Đọc dữ liệu đầu ra của phiên tính mới, ghi thời điểm và nguồn.</w:t>
      </w:r>
    </w:p>
    <w:p>
      <w:r>
        <w:t>4. PLAXIS: xem chuyển vị, áp lực nước, nội lực và hệ số an toàn phù hợp mục tiêu.</w:t>
      </w:r>
    </w:p>
    <w:p>
      <w:r>
        <w:t>5. GeoStudio: đọc Fs, mặt trượt nguy hiểm, phương pháp, nước/tải và phạm vi tìm trượt.</w:t>
      </w:r>
    </w:p>
    <w:p>
      <w:r>
        <w:t>6. Lưu project mới, bảng đầu vào, log và báo cáo; đối chiếu lại dữ liệu nguồn.</w:t>
      </w:r>
    </w:p>
    <w:p>
      <w:r>
        <w:t>Giá trị Fs hữu hạn/dương không tự chứng minh hội tụ, mô hình đúng hoặc miền tìm trượt đủ rộng. Người phụ trách chuyên môn cần thẩm tra trước dùng cho thiết kế.</w:t>
      </w:r>
    </w:p>
    <w:p>
      <w:pPr>
        <w:pStyle w:val="Heading1"/>
      </w:pPr>
      <w:r>
        <w:t>8. Tiếp tục sau lỗi</w:t>
      </w:r>
    </w:p>
    <w:p>
      <w:r>
        <w:t>Giữ cùng hội thoại, nêu lỗi và yêu cầu đọc lại trạng thái thật. Các bước đã thực hiện, lỗi và bước chưa rõ phải tách biệt. Khi kết nối mất, không giả định chưa chạy rồi tạo lại đối tượng. AI nên tự tra cách xử lý; chỉ hỏi người dùng khi thiếu dữ liệu chuyên môn, có nhiều lựa chọn ảnh hưởng kết quả hoặc công cụ không thể thực hiện bước cần thiết.</w:t>
      </w:r>
    </w:p>
    <w:p>
      <w:pPr>
        <w:pStyle w:val="Heading1"/>
      </w:pPr>
      <w:r>
        <w:t>Nguồn đối chiếu</w:t>
      </w:r>
    </w:p>
    <w:p>
      <w:r>
        <w:t>README dự án; mobile/README.md và giao diện Android; docs/phone-connection.md; docs/payment-setup.md; docs/email-setup.md; docs/ai-training-memory.md; docs/plaxis-3d.md; docs/geoslope-workflow.md. Tài liệu tổng hợp cách sử dụng, không chép thông số hoặc kết quả của một công trình làm mặc định cho công trình khác.</w:t>
      </w:r>
    </w:p>
    <w:sectPr w:rsidR="00FC693F" w:rsidRPr="0006063C" w:rsidSect="00034616">
      <w:headerReference w:type="default" r:id="rId9"/>
      <w:footerReference w:type="default" r:id="rId10"/>
      <w:pgSz w:w="11906" w:h="16838"/>
      <w:pgMar w:top="1134" w:right="113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ChatAI • 11/10/2026  |  Trang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CHAT AI  |  HƯỚNG DẪN SỬ DỤNG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459A6"/>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459A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GIAO VIỆC KỸ THUẬT CHO CHAT AI</dc:title>
  <dc:subject>PLAXIS 2D/3D và GeoStudio • chuẩn bị, thực hiện, kiểm tra</dc:subject>
  <dc:creator>ChatAI</dc:creator>
  <cp:keywords/>
  <dc:description>generated by python-docx</dc:description>
  <cp:lastModifiedBy/>
  <cp:revision>1</cp:revision>
  <dcterms:created xsi:type="dcterms:W3CDTF">2013-12-23T23:15:00Z</dcterms:created>
  <dcterms:modified xsi:type="dcterms:W3CDTF">2013-12-23T23:15:00Z</dcterms:modified>
  <cp:category/>
</cp:coreProperties>
</file>