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3CA0E">
      <w:pPr>
        <w:spacing w:line="276" w:lineRule="auto"/>
        <w:jc w:val="center"/>
        <w:rPr>
          <w:highlight w:val="none"/>
        </w:rPr>
      </w:pPr>
      <w:bookmarkStart w:id="4" w:name="_GoBack"/>
      <w:bookmarkEnd w:id="4"/>
      <w:r>
        <w:rPr>
          <w:b/>
          <w:bCs/>
          <w:highlight w:val="none"/>
        </w:rPr>
        <w:t>CỘNG HÒA XÃ HỘI CHỦ NGHĨA VIỆT NAM</w:t>
      </w:r>
    </w:p>
    <w:p w14:paraId="2C7B5B12">
      <w:pPr>
        <w:spacing w:line="276" w:lineRule="auto"/>
        <w:jc w:val="center"/>
        <w:rPr>
          <w:b/>
          <w:bCs/>
          <w:highlight w:val="none"/>
          <w:u w:val="single"/>
          <w:lang w:val="en-US"/>
        </w:rPr>
      </w:pPr>
      <w:r>
        <w:rPr>
          <w:b/>
          <w:bCs/>
          <w:highlight w:val="none"/>
          <w:u w:val="single"/>
        </w:rPr>
        <w:t>Độc lập - Tự do - Hạnh phúc</w:t>
      </w:r>
    </w:p>
    <w:p w14:paraId="13618F2B">
      <w:pPr>
        <w:spacing w:line="276" w:lineRule="auto"/>
        <w:jc w:val="center"/>
        <w:rPr>
          <w:sz w:val="8"/>
          <w:highlight w:val="none"/>
          <w:lang w:val="en-US"/>
        </w:rPr>
      </w:pPr>
    </w:p>
    <w:p w14:paraId="20BE1EFE">
      <w:pPr>
        <w:spacing w:before="200" w:after="160" w:line="276" w:lineRule="auto"/>
        <w:jc w:val="center"/>
        <w:rPr>
          <w:b/>
          <w:bCs/>
          <w:sz w:val="30"/>
          <w:szCs w:val="30"/>
          <w:highlight w:val="none"/>
        </w:rPr>
      </w:pPr>
      <w:r>
        <w:rPr>
          <w:b/>
          <w:bCs/>
          <w:sz w:val="30"/>
          <w:szCs w:val="30"/>
          <w:highlight w:val="none"/>
        </w:rPr>
        <w:t>HỢP ĐỒNG LAO ĐỘNG</w:t>
      </w:r>
    </w:p>
    <w:p w14:paraId="38B7BCDB">
      <w:pPr>
        <w:spacing w:after="240" w:line="276" w:lineRule="auto"/>
        <w:jc w:val="center"/>
        <w:rPr>
          <w:highlight w:val="none"/>
        </w:rPr>
      </w:pPr>
      <w:r>
        <w:rPr>
          <w:highlight w:val="none"/>
        </w:rPr>
        <w:t>Số: 001/2026/HĐLĐ-TLNT</w:t>
      </w:r>
    </w:p>
    <w:p w14:paraId="7BD4FB71">
      <w:pPr>
        <w:spacing w:line="276" w:lineRule="auto"/>
        <w:jc w:val="both"/>
        <w:rPr>
          <w:i/>
          <w:iCs/>
          <w:highlight w:val="none"/>
        </w:rPr>
      </w:pPr>
      <w:r>
        <w:rPr>
          <w:i/>
          <w:iCs/>
          <w:highlight w:val="none"/>
        </w:rPr>
        <w:t>Căn cứ Bộ luật Lao động và các văn bản hướng dẫn thi hành;</w:t>
      </w:r>
    </w:p>
    <w:p w14:paraId="34BF0EBE">
      <w:pPr>
        <w:spacing w:line="276" w:lineRule="auto"/>
        <w:jc w:val="both"/>
        <w:rPr>
          <w:rFonts w:eastAsia="Arial"/>
          <w:i/>
          <w:iCs/>
          <w:highlight w:val="none"/>
        </w:rPr>
      </w:pPr>
      <w:r>
        <w:rPr>
          <w:rFonts w:eastAsia="Arial"/>
          <w:i/>
          <w:iCs/>
          <w:highlight w:val="none"/>
        </w:rPr>
        <w:t>Căn cứ các văn bản nội bộ của Công ty TNHH Thiện Long Nha Trang;</w:t>
      </w:r>
    </w:p>
    <w:p w14:paraId="20A5700F">
      <w:pPr>
        <w:spacing w:after="120" w:line="276" w:lineRule="auto"/>
        <w:jc w:val="both"/>
        <w:rPr>
          <w:i/>
          <w:iCs/>
          <w:highlight w:val="none"/>
        </w:rPr>
      </w:pPr>
      <w:r>
        <w:rPr>
          <w:i/>
          <w:iCs/>
          <w:highlight w:val="none"/>
        </w:rPr>
        <w:t>Căn cứ nhu cầu và thoả thuận tự nguyện của hai bên,</w:t>
      </w:r>
    </w:p>
    <w:p w14:paraId="05C8AB8C">
      <w:pPr>
        <w:spacing w:line="276" w:lineRule="auto"/>
        <w:jc w:val="both"/>
        <w:rPr>
          <w:highlight w:val="none"/>
        </w:rPr>
      </w:pPr>
      <w:r>
        <w:rPr>
          <w:highlight w:val="none"/>
        </w:rPr>
        <w:t>Hôm nay, ngày 01 tháng 09 năm 2026, tại Văn phòng Công ty TNHH Thiện Long Nha Trang, chúng tôi gồm:</w:t>
      </w:r>
    </w:p>
    <w:p w14:paraId="7E69C0E5">
      <w:pPr>
        <w:spacing w:before="120" w:after="90" w:line="276" w:lineRule="auto"/>
        <w:rPr>
          <w:highlight w:val="none"/>
        </w:rPr>
      </w:pPr>
      <w:r>
        <w:rPr>
          <w:b/>
          <w:bCs/>
          <w:highlight w:val="none"/>
        </w:rPr>
        <w:t>BÊN A</w:t>
      </w:r>
      <w:r>
        <w:rPr>
          <w:b/>
          <w:bCs/>
          <w:highlight w:val="none"/>
          <w:lang w:val="en-US"/>
        </w:rPr>
        <w:tab/>
      </w:r>
      <w:r>
        <w:rPr>
          <w:b/>
          <w:bCs/>
          <w:highlight w:val="none"/>
          <w:lang w:val="en-US"/>
        </w:rPr>
        <w:tab/>
      </w:r>
      <w:r>
        <w:rPr>
          <w:b/>
          <w:bCs/>
          <w:highlight w:val="none"/>
        </w:rPr>
        <w:t>:</w:t>
      </w:r>
      <w:r>
        <w:rPr>
          <w:b/>
          <w:bCs/>
          <w:highlight w:val="none"/>
          <w:lang w:val="en-US"/>
        </w:rPr>
        <w:t xml:space="preserve"> </w:t>
      </w:r>
      <w:r>
        <w:rPr>
          <w:b/>
          <w:bCs/>
          <w:highlight w:val="none"/>
        </w:rPr>
        <w:t>CÔNG TY TNHH THIỆN LONG NHA TRANG</w:t>
      </w:r>
    </w:p>
    <w:p w14:paraId="3A1A0362">
      <w:pPr>
        <w:spacing w:after="80" w:line="276" w:lineRule="auto"/>
        <w:jc w:val="both"/>
        <w:rPr>
          <w:b/>
          <w:bCs/>
          <w:highlight w:val="none"/>
        </w:rPr>
      </w:pPr>
      <w:r>
        <w:rPr>
          <w:highlight w:val="none"/>
        </w:rPr>
        <w:t>Đại diện</w:t>
      </w:r>
      <w:r>
        <w:rPr>
          <w:b/>
          <w:bCs/>
          <w:highlight w:val="none"/>
        </w:rPr>
        <w:tab/>
      </w:r>
      <w:r>
        <w:rPr>
          <w:b/>
          <w:bCs/>
          <w:highlight w:val="none"/>
        </w:rPr>
        <w:tab/>
      </w:r>
      <w:r>
        <w:rPr>
          <w:b/>
          <w:bCs/>
          <w:highlight w:val="none"/>
        </w:rPr>
        <w:t xml:space="preserve">: ÔNG PHẠM QUÝ TRỌNG               Chức vụ: Giám đốc    </w:t>
      </w:r>
    </w:p>
    <w:p w14:paraId="1300998D">
      <w:pPr>
        <w:spacing w:after="80" w:line="276" w:lineRule="auto"/>
        <w:ind w:left="2160" w:hanging="2160"/>
        <w:jc w:val="both"/>
        <w:rPr>
          <w:highlight w:val="none"/>
        </w:rPr>
      </w:pPr>
      <w:r>
        <w:rPr>
          <w:highlight w:val="none"/>
        </w:rPr>
        <w:t>Địa chỉ</w:t>
      </w:r>
      <w:r>
        <w:rPr>
          <w:b/>
          <w:bCs/>
          <w:highlight w:val="none"/>
        </w:rPr>
        <w:tab/>
      </w:r>
      <w:r>
        <w:rPr>
          <w:highlight w:val="none"/>
        </w:rPr>
        <w:t>: Lô L23-34 Khu đô thị An Bình Tân, Phường Nam Nha Trang, Tỉnh Khánh Hòa.</w:t>
      </w:r>
    </w:p>
    <w:p w14:paraId="190F6CA0">
      <w:pPr>
        <w:spacing w:after="80" w:line="276" w:lineRule="auto"/>
        <w:jc w:val="both"/>
        <w:rPr>
          <w:highlight w:val="none"/>
        </w:rPr>
      </w:pPr>
      <w:r>
        <w:rPr>
          <w:highlight w:val="none"/>
        </w:rPr>
        <w:t>Mã số thuế</w:t>
      </w:r>
      <w:r>
        <w:rPr>
          <w:b/>
          <w:bCs/>
          <w:highlight w:val="none"/>
        </w:rPr>
        <w:tab/>
      </w:r>
      <w:r>
        <w:rPr>
          <w:b/>
          <w:bCs/>
          <w:highlight w:val="none"/>
        </w:rPr>
        <w:tab/>
      </w:r>
      <w:r>
        <w:rPr>
          <w:highlight w:val="none"/>
        </w:rPr>
        <w:t>: 4201682180.</w:t>
      </w:r>
    </w:p>
    <w:p w14:paraId="7FC6E4A7">
      <w:pPr>
        <w:spacing w:after="80" w:line="276" w:lineRule="auto"/>
        <w:jc w:val="both"/>
        <w:rPr>
          <w:highlight w:val="none"/>
        </w:rPr>
      </w:pPr>
      <w:r>
        <w:rPr>
          <w:highlight w:val="none"/>
        </w:rPr>
        <w:t>Điện thoại</w:t>
      </w:r>
      <w:r>
        <w:rPr>
          <w:b/>
          <w:bCs/>
          <w:highlight w:val="none"/>
        </w:rPr>
        <w:tab/>
      </w:r>
      <w:r>
        <w:rPr>
          <w:b/>
          <w:bCs/>
          <w:highlight w:val="none"/>
        </w:rPr>
        <w:tab/>
      </w:r>
      <w:r>
        <w:rPr>
          <w:highlight w:val="none"/>
        </w:rPr>
        <w:t>: 0258.6516868.</w:t>
      </w:r>
    </w:p>
    <w:p w14:paraId="0C3ED328">
      <w:pPr>
        <w:spacing w:before="180" w:after="90" w:line="276" w:lineRule="auto"/>
        <w:rPr>
          <w:highlight w:val="none"/>
        </w:rPr>
      </w:pPr>
      <w:r>
        <w:rPr>
          <w:b/>
          <w:bCs/>
          <w:highlight w:val="none"/>
        </w:rPr>
        <w:t>BÊN B</w:t>
      </w:r>
      <w:r>
        <w:rPr>
          <w:b/>
          <w:bCs/>
          <w:highlight w:val="none"/>
        </w:rPr>
        <w:tab/>
      </w:r>
      <w:r>
        <w:rPr>
          <w:b/>
          <w:bCs/>
          <w:highlight w:val="none"/>
        </w:rPr>
        <w:tab/>
      </w:r>
      <w:r>
        <w:rPr>
          <w:b/>
          <w:bCs/>
          <w:highlight w:val="none"/>
        </w:rPr>
        <w:tab/>
      </w:r>
      <w:r>
        <w:rPr>
          <w:b/>
          <w:bCs/>
          <w:highlight w:val="none"/>
        </w:rPr>
        <w:t>: ÔNG/BÀ TRẦN LONG VŨ</w:t>
      </w:r>
    </w:p>
    <w:p w14:paraId="61375C01">
      <w:pPr>
        <w:spacing w:after="80" w:line="276" w:lineRule="auto"/>
        <w:jc w:val="both"/>
        <w:rPr>
          <w:highlight w:val="none"/>
        </w:rPr>
      </w:pPr>
      <w:r>
        <w:rPr>
          <w:highlight w:val="none"/>
        </w:rPr>
        <w:t>Sinh ngày</w:t>
      </w:r>
      <w:r>
        <w:rPr>
          <w:b/>
          <w:bCs/>
          <w:highlight w:val="none"/>
        </w:rPr>
        <w:tab/>
      </w:r>
      <w:r>
        <w:rPr>
          <w:b/>
          <w:bCs/>
          <w:highlight w:val="none"/>
        </w:rPr>
        <w:tab/>
      </w:r>
      <w:r>
        <w:rPr>
          <w:highlight w:val="none"/>
        </w:rPr>
        <w:t xml:space="preserve">: 15/05/1998   </w:t>
      </w:r>
      <w:r>
        <w:rPr>
          <w:highlight w:val="none"/>
        </w:rPr>
        <w:tab/>
      </w:r>
      <w:r>
        <w:rPr>
          <w:highlight w:val="none"/>
        </w:rPr>
        <w:tab/>
      </w:r>
      <w:r>
        <w:rPr>
          <w:highlight w:val="none"/>
        </w:rPr>
        <w:t xml:space="preserve">Giới tính: Nam   </w:t>
      </w:r>
      <w:r>
        <w:rPr>
          <w:highlight w:val="none"/>
        </w:rPr>
        <w:tab/>
      </w:r>
      <w:r>
        <w:rPr>
          <w:highlight w:val="none"/>
        </w:rPr>
        <w:t>Dân tộc: Kinh</w:t>
      </w:r>
    </w:p>
    <w:p w14:paraId="23D16E3A">
      <w:pPr>
        <w:spacing w:after="80" w:line="276" w:lineRule="auto"/>
        <w:jc w:val="both"/>
        <w:rPr>
          <w:highlight w:val="none"/>
        </w:rPr>
      </w:pPr>
      <w:r>
        <w:rPr>
          <w:highlight w:val="none"/>
        </w:rPr>
        <w:t>Địa chỉ thường trú</w:t>
      </w:r>
      <w:r>
        <w:rPr>
          <w:highlight w:val="none"/>
        </w:rPr>
        <w:tab/>
      </w:r>
      <w:r>
        <w:rPr>
          <w:highlight w:val="none"/>
        </w:rPr>
        <w:t>: Nha Trang, Khánh Hòa</w:t>
      </w:r>
    </w:p>
    <w:p w14:paraId="347E7512">
      <w:pPr>
        <w:spacing w:after="80" w:line="276" w:lineRule="auto"/>
        <w:jc w:val="both"/>
        <w:rPr>
          <w:highlight w:val="none"/>
        </w:rPr>
      </w:pPr>
      <w:r>
        <w:rPr>
          <w:highlight w:val="none"/>
        </w:rPr>
        <w:t>CCCD số</w:t>
      </w:r>
      <w:r>
        <w:rPr>
          <w:highlight w:val="none"/>
        </w:rPr>
        <w:tab/>
      </w:r>
      <w:r>
        <w:rPr>
          <w:highlight w:val="none"/>
        </w:rPr>
        <w:tab/>
      </w:r>
      <w:r>
        <w:rPr>
          <w:highlight w:val="none"/>
        </w:rPr>
        <w:t>: 000000000001</w:t>
      </w:r>
      <w:r>
        <w:rPr>
          <w:highlight w:val="none"/>
        </w:rPr>
        <w:tab/>
      </w:r>
      <w:r>
        <w:rPr>
          <w:highlight w:val="none"/>
        </w:rPr>
        <w:tab/>
      </w:r>
      <w:r>
        <w:rPr>
          <w:highlight w:val="none"/>
        </w:rPr>
        <w:t xml:space="preserve">Ngày cấp: 01/01/2024   </w:t>
      </w:r>
    </w:p>
    <w:p w14:paraId="725E10BF">
      <w:pPr>
        <w:spacing w:after="80" w:line="276" w:lineRule="auto"/>
        <w:jc w:val="both"/>
        <w:rPr>
          <w:highlight w:val="none"/>
        </w:rPr>
      </w:pPr>
      <w:r>
        <w:rPr>
          <w:highlight w:val="none"/>
        </w:rPr>
        <w:t>Nơi cấp</w:t>
      </w:r>
      <w:r>
        <w:rPr>
          <w:highlight w:val="none"/>
        </w:rPr>
        <w:tab/>
      </w:r>
      <w:r>
        <w:rPr>
          <w:highlight w:val="none"/>
        </w:rPr>
        <w:tab/>
      </w:r>
      <w:r>
        <w:rPr>
          <w:highlight w:val="none"/>
        </w:rPr>
        <w:t>: Cục CSQLHC về TTXH</w:t>
      </w:r>
    </w:p>
    <w:p w14:paraId="1DB56E18">
      <w:pPr>
        <w:spacing w:after="80" w:line="276" w:lineRule="auto"/>
        <w:jc w:val="both"/>
        <w:rPr>
          <w:highlight w:val="none"/>
        </w:rPr>
      </w:pPr>
      <w:r>
        <w:rPr>
          <w:highlight w:val="none"/>
        </w:rPr>
        <w:t>Mã số thuế</w:t>
      </w:r>
      <w:r>
        <w:rPr>
          <w:highlight w:val="none"/>
        </w:rPr>
        <w:tab/>
      </w:r>
      <w:r>
        <w:rPr>
          <w:highlight w:val="none"/>
        </w:rPr>
        <w:tab/>
      </w:r>
      <w:r>
        <w:rPr>
          <w:highlight w:val="none"/>
        </w:rPr>
        <w:t xml:space="preserve">: 0000000001  </w:t>
      </w:r>
      <w:r>
        <w:rPr>
          <w:highlight w:val="none"/>
        </w:rPr>
        <w:tab/>
      </w:r>
      <w:r>
        <w:rPr>
          <w:highlight w:val="none"/>
        </w:rPr>
        <w:t>Điện thoại: 0900000000</w:t>
      </w:r>
    </w:p>
    <w:p w14:paraId="544D4830">
      <w:pPr>
        <w:spacing w:before="120" w:after="80" w:line="276" w:lineRule="auto"/>
        <w:jc w:val="both"/>
        <w:rPr>
          <w:highlight w:val="none"/>
        </w:rPr>
      </w:pPr>
      <w:r>
        <w:rPr>
          <w:highlight w:val="none"/>
        </w:rPr>
        <w:t>Hai bên thỏa thuận ký kết Hợp đồng lao động và cam kết thực hiện đúng các điều khoản sau đây:</w:t>
      </w:r>
    </w:p>
    <w:p w14:paraId="33D73F7E">
      <w:pPr>
        <w:spacing w:before="120" w:line="276" w:lineRule="auto"/>
        <w:rPr>
          <w:highlight w:val="none"/>
        </w:rPr>
      </w:pPr>
      <w:r>
        <w:rPr>
          <w:b/>
          <w:bCs/>
          <w:highlight w:val="none"/>
        </w:rPr>
        <w:t>Điều 1. Công việc và địa điểm làm việc</w:t>
      </w:r>
    </w:p>
    <w:p w14:paraId="63AB8762">
      <w:pPr>
        <w:pStyle w:val="25"/>
        <w:numPr>
          <w:ilvl w:val="0"/>
          <w:numId w:val="1"/>
        </w:numPr>
        <w:spacing w:after="80" w:line="276" w:lineRule="auto"/>
        <w:ind w:left="540" w:hanging="540"/>
        <w:jc w:val="both"/>
        <w:rPr>
          <w:highlight w:val="none"/>
        </w:rPr>
      </w:pPr>
      <w:r>
        <w:rPr>
          <w:highlight w:val="none"/>
        </w:rPr>
        <w:t>Chức danh: Nhân viên IT</w:t>
      </w:r>
    </w:p>
    <w:p w14:paraId="4675A6CC">
      <w:pPr>
        <w:pStyle w:val="25"/>
        <w:numPr>
          <w:ilvl w:val="0"/>
          <w:numId w:val="1"/>
        </w:numPr>
        <w:spacing w:after="80" w:line="276" w:lineRule="auto"/>
        <w:ind w:left="540" w:hanging="540"/>
        <w:jc w:val="both"/>
        <w:rPr>
          <w:rFonts w:eastAsia="Arial"/>
          <w:iCs/>
          <w:highlight w:val="none"/>
        </w:rPr>
      </w:pPr>
      <w:r>
        <w:rPr>
          <w:highlight w:val="none"/>
        </w:rPr>
        <w:t>Công việc phải làm: Thực hiện các công việc theo Bản mô tả công việc do Công ty ban hành tại từng thời điểm (nếu có) và các công việc khác phù hợp với chức danh, trình độ chuyên môn và năng lực của Người lao động, do người quản lý trực tiếp, Ban Lãnh đạo Công ty phân công.</w:t>
      </w:r>
      <w:r>
        <w:rPr>
          <w:rFonts w:eastAsia="Arial"/>
          <w:iCs/>
          <w:highlight w:val="none"/>
        </w:rPr>
        <w:t xml:space="preserve">  </w:t>
      </w:r>
    </w:p>
    <w:p w14:paraId="2A8CC50A">
      <w:pPr>
        <w:pStyle w:val="25"/>
        <w:numPr>
          <w:ilvl w:val="0"/>
          <w:numId w:val="1"/>
        </w:numPr>
        <w:spacing w:after="80" w:line="276" w:lineRule="auto"/>
        <w:ind w:left="540" w:hanging="540"/>
        <w:jc w:val="both"/>
        <w:rPr>
          <w:highlight w:val="none"/>
        </w:rPr>
      </w:pPr>
      <w:r>
        <w:rPr>
          <w:highlight w:val="none"/>
        </w:rPr>
        <w:t>Địa điểm làm việc: Tại Trụ sở chính, các văn phòng đại diện, chi nhánh và các công trình, dự án theo sự phân công và điều động của Ban Lãnh đạo/Ban Điều hành dự án.</w:t>
      </w:r>
    </w:p>
    <w:p w14:paraId="756FDDCE">
      <w:pPr>
        <w:spacing w:line="276" w:lineRule="auto"/>
        <w:rPr>
          <w:highlight w:val="none"/>
        </w:rPr>
      </w:pPr>
      <w:r>
        <w:rPr>
          <w:b/>
          <w:bCs/>
          <w:highlight w:val="none"/>
        </w:rPr>
        <w:t>Điều 2. Thời hạn của hợp đồng lao động</w:t>
      </w:r>
    </w:p>
    <w:p w14:paraId="5F9D2B7C">
      <w:pPr>
        <w:pStyle w:val="25"/>
        <w:numPr>
          <w:ilvl w:val="0"/>
          <w:numId w:val="2"/>
        </w:numPr>
        <w:spacing w:after="80" w:line="276" w:lineRule="auto"/>
        <w:ind w:left="540" w:hanging="540"/>
        <w:jc w:val="both"/>
        <w:rPr>
          <w:highlight w:val="none"/>
        </w:rPr>
      </w:pPr>
      <w:r>
        <w:rPr>
          <w:highlight w:val="none"/>
        </w:rPr>
        <w:t>Loại hợp đồng: Hợp đồng xác định thời hạn</w:t>
      </w:r>
    </w:p>
    <w:p w14:paraId="2B9A136F">
      <w:pPr>
        <w:pStyle w:val="25"/>
        <w:numPr>
          <w:ilvl w:val="0"/>
          <w:numId w:val="2"/>
        </w:numPr>
        <w:spacing w:after="80" w:line="276" w:lineRule="auto"/>
        <w:ind w:left="540" w:hanging="540"/>
        <w:jc w:val="both"/>
        <w:rPr>
          <w:highlight w:val="none"/>
        </w:rPr>
      </w:pPr>
      <w:r>
        <w:rPr>
          <w:highlight w:val="none"/>
        </w:rPr>
        <w:t>Thời hạn: 12 tháng, từ ngày 01/09/2026 đến ngày 31/08/2027.</w:t>
      </w:r>
    </w:p>
    <w:p w14:paraId="50E84591">
      <w:pPr>
        <w:spacing w:line="276" w:lineRule="auto"/>
        <w:jc w:val="both"/>
        <w:rPr>
          <w:highlight w:val="none"/>
        </w:rPr>
      </w:pPr>
      <w:r>
        <w:rPr>
          <w:b/>
          <w:bCs/>
          <w:highlight w:val="none"/>
        </w:rPr>
        <w:t>Điều 3. Thời giờ làm việc, thời giờ nghỉ ngơi</w:t>
      </w:r>
    </w:p>
    <w:p w14:paraId="79C1A703">
      <w:pPr>
        <w:pStyle w:val="25"/>
        <w:numPr>
          <w:ilvl w:val="0"/>
          <w:numId w:val="3"/>
        </w:numPr>
        <w:spacing w:line="276" w:lineRule="auto"/>
        <w:ind w:left="540" w:hanging="540"/>
        <w:jc w:val="both"/>
        <w:rPr>
          <w:highlight w:val="none"/>
        </w:rPr>
      </w:pPr>
      <w:r>
        <w:rPr>
          <w:highlight w:val="none"/>
        </w:rPr>
        <w:t xml:space="preserve">Thời giờ làm việc: </w:t>
      </w:r>
    </w:p>
    <w:p w14:paraId="1531080B">
      <w:pPr>
        <w:pStyle w:val="25"/>
        <w:numPr>
          <w:ilvl w:val="0"/>
          <w:numId w:val="4"/>
        </w:numPr>
        <w:spacing w:line="276" w:lineRule="auto"/>
        <w:ind w:left="540"/>
        <w:jc w:val="both"/>
        <w:rPr>
          <w:highlight w:val="none"/>
        </w:rPr>
      </w:pPr>
      <w:r>
        <w:rPr>
          <w:highlight w:val="none"/>
        </w:rPr>
        <w:t>Khối Văn phòng: 06 ngày/tuần, 08 giờ/ngày. Thứ Hai đến Thứ Bảy (theo giờ hành chính của Công ty) .</w:t>
      </w:r>
    </w:p>
    <w:p w14:paraId="150E3B7B">
      <w:pPr>
        <w:pStyle w:val="25"/>
        <w:numPr>
          <w:ilvl w:val="0"/>
          <w:numId w:val="4"/>
        </w:numPr>
        <w:spacing w:line="276" w:lineRule="auto"/>
        <w:ind w:left="540"/>
        <w:jc w:val="both"/>
        <w:rPr>
          <w:highlight w:val="none"/>
        </w:rPr>
      </w:pPr>
      <w:r>
        <w:rPr>
          <w:highlight w:val="none"/>
        </w:rPr>
        <w:t>Khối Công trình: Thời giờ làm việc được bố trí linh hoạt theo tiến độ thi công của dự án, ca kíp công trường hoặc đặc thù công việc, đảm bảo tổng thời gian không vượt quá luật định và có chế độ nghỉ ngơi hợp lý.</w:t>
      </w:r>
    </w:p>
    <w:p w14:paraId="5E0C9AF9">
      <w:pPr>
        <w:pStyle w:val="25"/>
        <w:numPr>
          <w:ilvl w:val="0"/>
          <w:numId w:val="3"/>
        </w:numPr>
        <w:spacing w:line="276" w:lineRule="auto"/>
        <w:ind w:left="540" w:hanging="540"/>
        <w:jc w:val="both"/>
        <w:rPr>
          <w:highlight w:val="none"/>
        </w:rPr>
      </w:pPr>
      <w:r>
        <w:rPr>
          <w:highlight w:val="none"/>
        </w:rPr>
        <w:t>Tùy tính chất công việc, Công ty có thể áp dụng thời giờ làm việc khác nhưng bảo đảm đúng quy định pháp luật.</w:t>
      </w:r>
    </w:p>
    <w:p w14:paraId="24A232A0">
      <w:pPr>
        <w:pStyle w:val="25"/>
        <w:numPr>
          <w:ilvl w:val="0"/>
          <w:numId w:val="3"/>
        </w:numPr>
        <w:spacing w:line="276" w:lineRule="auto"/>
        <w:ind w:left="540" w:hanging="540"/>
        <w:jc w:val="both"/>
        <w:rPr>
          <w:highlight w:val="none"/>
        </w:rPr>
      </w:pPr>
      <w:r>
        <w:rPr>
          <w:highlight w:val="none"/>
        </w:rPr>
        <w:t>Nghỉ hàng năm: Theo quy định chung của Nhà nước. Người lao động làm việc đủ 12 tháng được nghỉ 12 ngày phép năm hưởng nguyên lương đối với công việc trong điều kiện bình thường; Người lao động có thâm niên dưới 12 tháng thì số ngày nghỉ hằng năm tính theo tỷ lệ tương ứng với thời gian làm việc.</w:t>
      </w:r>
    </w:p>
    <w:p w14:paraId="7D7CFABD">
      <w:pPr>
        <w:pStyle w:val="25"/>
        <w:numPr>
          <w:ilvl w:val="0"/>
          <w:numId w:val="3"/>
        </w:numPr>
        <w:spacing w:line="276" w:lineRule="auto"/>
        <w:ind w:left="540" w:hanging="540"/>
        <w:jc w:val="both"/>
        <w:rPr>
          <w:highlight w:val="none"/>
        </w:rPr>
      </w:pPr>
      <w:r>
        <w:rPr>
          <w:highlight w:val="none"/>
        </w:rPr>
        <w:t>Nghỉ lễ, Tết: theo quy định Bộ luật Lao động. Trường hợp ngày nghỉ Lễ, Tết trùng với ngày nghỉ hằng tuần, Người lao động được nghỉ bù theo quy định của Pháp luật.</w:t>
      </w:r>
    </w:p>
    <w:p w14:paraId="3EAC23F7">
      <w:pPr>
        <w:pStyle w:val="25"/>
        <w:numPr>
          <w:ilvl w:val="0"/>
          <w:numId w:val="3"/>
        </w:numPr>
        <w:spacing w:after="120" w:line="276" w:lineRule="auto"/>
        <w:ind w:left="547" w:hanging="547"/>
        <w:jc w:val="both"/>
        <w:rPr>
          <w:rFonts w:eastAsia="Arial"/>
          <w:highlight w:val="none"/>
        </w:rPr>
      </w:pPr>
      <w:r>
        <w:rPr>
          <w:highlight w:val="none"/>
        </w:rPr>
        <w:t>Thời gian tăng ca (làm thêm giờ) tối đa không vượt quá 40 giờ/tháng (theo quy định của Luật lao động).</w:t>
      </w:r>
    </w:p>
    <w:p w14:paraId="6CEC8595">
      <w:pPr>
        <w:spacing w:line="276" w:lineRule="auto"/>
        <w:jc w:val="both"/>
        <w:rPr>
          <w:highlight w:val="none"/>
        </w:rPr>
      </w:pPr>
      <w:r>
        <w:rPr>
          <w:b/>
          <w:bCs/>
          <w:highlight w:val="none"/>
        </w:rPr>
        <w:t>Điều 4. Tiền lương, hình thức và thời hạn trả lương</w:t>
      </w:r>
    </w:p>
    <w:p w14:paraId="48CD9093">
      <w:pPr>
        <w:pStyle w:val="25"/>
        <w:numPr>
          <w:ilvl w:val="0"/>
          <w:numId w:val="5"/>
        </w:numPr>
        <w:spacing w:line="276" w:lineRule="auto"/>
        <w:ind w:left="540" w:hanging="540"/>
        <w:jc w:val="both"/>
        <w:rPr>
          <w:highlight w:val="none"/>
        </w:rPr>
      </w:pPr>
      <w:r>
        <w:rPr>
          <w:highlight w:val="none"/>
        </w:rPr>
        <w:t>Mức lương chính: 15.000.000 VNĐ/tháng.</w:t>
      </w:r>
    </w:p>
    <w:p w14:paraId="11304387">
      <w:pPr>
        <w:pStyle w:val="25"/>
        <w:numPr>
          <w:ilvl w:val="0"/>
          <w:numId w:val="5"/>
        </w:numPr>
        <w:spacing w:line="276" w:lineRule="auto"/>
        <w:ind w:left="540" w:hanging="540"/>
        <w:jc w:val="both"/>
        <w:rPr>
          <w:rFonts w:eastAsia="Arial"/>
          <w:highlight w:val="none"/>
        </w:rPr>
      </w:pPr>
      <w:bookmarkStart w:id="0" w:name="_Hlk235102735"/>
      <w:bookmarkStart w:id="1" w:name="_Hlk235109945"/>
      <w:r>
        <w:rPr>
          <w:highlight w:val="none"/>
        </w:rPr>
        <w:t xml:space="preserve">Các khoản hỗ trợ như: Điện thoại, nhà ở, xăng xe, tiền ăn giữa ca, công tác phí,… (nếu có): Thực hiện theo quy chế của Công ty. </w:t>
      </w:r>
      <w:bookmarkEnd w:id="0"/>
      <w:r>
        <w:rPr>
          <w:rFonts w:eastAsia="Arial"/>
          <w:highlight w:val="none"/>
        </w:rPr>
        <w:t>Việc hưởng, mức hưởng, điều kiện hưởng do Quy chế tiền lương, Quy chế tài chính hoặc quyết định của Công ty tại từng thời điểm quy định.</w:t>
      </w:r>
    </w:p>
    <w:bookmarkEnd w:id="1"/>
    <w:p w14:paraId="039B49A5">
      <w:pPr>
        <w:pStyle w:val="25"/>
        <w:numPr>
          <w:ilvl w:val="0"/>
          <w:numId w:val="5"/>
        </w:numPr>
        <w:spacing w:line="276" w:lineRule="auto"/>
        <w:ind w:left="540" w:hanging="540"/>
        <w:jc w:val="both"/>
        <w:rPr>
          <w:highlight w:val="none"/>
        </w:rPr>
      </w:pPr>
      <w:r>
        <w:rPr>
          <w:highlight w:val="none"/>
        </w:rPr>
        <w:t xml:space="preserve">Thu nhập bổ sung theo doanh thu: Căn cứ kết quả sản xuất, kinh doanh, mức độ hoàn thành công việc và chính sách của Công ty tại từng thời điểm. </w:t>
      </w:r>
    </w:p>
    <w:p w14:paraId="7764E9DF">
      <w:pPr>
        <w:pStyle w:val="25"/>
        <w:numPr>
          <w:ilvl w:val="0"/>
          <w:numId w:val="5"/>
        </w:numPr>
        <w:spacing w:line="276" w:lineRule="auto"/>
        <w:ind w:left="540" w:hanging="540"/>
        <w:jc w:val="both"/>
        <w:rPr>
          <w:highlight w:val="none"/>
        </w:rPr>
      </w:pPr>
      <w:r>
        <w:rPr>
          <w:highlight w:val="none"/>
        </w:rPr>
        <w:t>Hình thức trả lương: trả lương theo thời gian, bằng tiền mặt hoặc qua tài khoản ngân hàng của Người lao động.</w:t>
      </w:r>
    </w:p>
    <w:p w14:paraId="756D1348">
      <w:pPr>
        <w:pStyle w:val="25"/>
        <w:numPr>
          <w:ilvl w:val="0"/>
          <w:numId w:val="5"/>
        </w:numPr>
        <w:spacing w:line="276" w:lineRule="auto"/>
        <w:ind w:left="540" w:hanging="540"/>
        <w:jc w:val="both"/>
        <w:rPr>
          <w:rFonts w:eastAsia="Arial"/>
          <w:i/>
          <w:iCs/>
          <w:highlight w:val="none"/>
        </w:rPr>
      </w:pPr>
      <w:r>
        <w:rPr>
          <w:highlight w:val="none"/>
        </w:rPr>
        <w:t>Thời hạn trả lương: Tiền lương được trả 01 lần/tháng, từ ngày 15 đến ngày 20 của tháng liền kề.</w:t>
      </w:r>
    </w:p>
    <w:p w14:paraId="7489BA59">
      <w:pPr>
        <w:pStyle w:val="25"/>
        <w:numPr>
          <w:ilvl w:val="0"/>
          <w:numId w:val="5"/>
        </w:numPr>
        <w:spacing w:after="120" w:line="276" w:lineRule="auto"/>
        <w:ind w:left="547" w:hanging="547"/>
        <w:jc w:val="both"/>
        <w:rPr>
          <w:highlight w:val="none"/>
        </w:rPr>
      </w:pPr>
      <w:r>
        <w:rPr>
          <w:highlight w:val="none"/>
        </w:rPr>
        <w:t>Chế độ nâng lương: Người lao động được xét nâng bậc, nâng lương theo kết quả làm việc và theo quy định của Người sử dụng lao động.</w:t>
      </w:r>
    </w:p>
    <w:p w14:paraId="62BED8A6">
      <w:pPr>
        <w:spacing w:line="276" w:lineRule="auto"/>
        <w:rPr>
          <w:highlight w:val="none"/>
        </w:rPr>
      </w:pPr>
      <w:r>
        <w:rPr>
          <w:b/>
          <w:bCs/>
          <w:highlight w:val="none"/>
        </w:rPr>
        <w:t>Điều 5. Bảo hiểm xã hội, bảo hiểm y tế, bảo hiểm thất nghiệp</w:t>
      </w:r>
    </w:p>
    <w:p w14:paraId="4E8A3CEF">
      <w:pPr>
        <w:pStyle w:val="25"/>
        <w:numPr>
          <w:ilvl w:val="0"/>
          <w:numId w:val="6"/>
        </w:numPr>
        <w:spacing w:after="80" w:line="276" w:lineRule="auto"/>
        <w:ind w:left="540" w:hanging="540"/>
        <w:jc w:val="both"/>
        <w:rPr>
          <w:highlight w:val="none"/>
        </w:rPr>
      </w:pPr>
      <w:r>
        <w:rPr>
          <w:highlight w:val="none"/>
        </w:rPr>
        <w:t>Người lao động tham gia bảo hiểm xã hội bắt buộc, bảo hiểm y tế, bảo hiểm thất nghiệp và các chế độ bảo hiểm bắt buộc khác theo đối tượng, điều kiện, thời điểm và mức đóng do pháp luật quy định.</w:t>
      </w:r>
    </w:p>
    <w:p w14:paraId="2850747E">
      <w:pPr>
        <w:pStyle w:val="25"/>
        <w:numPr>
          <w:ilvl w:val="0"/>
          <w:numId w:val="6"/>
        </w:numPr>
        <w:spacing w:after="80" w:line="276" w:lineRule="auto"/>
        <w:ind w:left="540" w:hanging="540"/>
        <w:jc w:val="both"/>
        <w:rPr>
          <w:highlight w:val="none"/>
        </w:rPr>
      </w:pPr>
      <w:r>
        <w:rPr>
          <w:highlight w:val="none"/>
        </w:rPr>
        <w:t>Hàng tháng, Công ty thực hiện việc đóng các khoản bảo hiểm bắt buộc theo quy định pháp luật; phần đóng của Người lao động (nếu có) được khấu trừ từ tiền lương theo quy định.</w:t>
      </w:r>
    </w:p>
    <w:p w14:paraId="3191CD2E">
      <w:pPr>
        <w:spacing w:line="276" w:lineRule="auto"/>
        <w:jc w:val="both"/>
        <w:rPr>
          <w:highlight w:val="none"/>
        </w:rPr>
      </w:pPr>
      <w:r>
        <w:rPr>
          <w:b/>
          <w:bCs/>
          <w:highlight w:val="none"/>
        </w:rPr>
        <w:t xml:space="preserve">Điều </w:t>
      </w:r>
      <w:r>
        <w:rPr>
          <w:b/>
          <w:bCs/>
          <w:highlight w:val="none"/>
          <w:lang w:val="en-US"/>
        </w:rPr>
        <w:t>6</w:t>
      </w:r>
      <w:r>
        <w:rPr>
          <w:b/>
          <w:bCs/>
          <w:highlight w:val="none"/>
        </w:rPr>
        <w:t>. An toàn, vệ sinh lao động</w:t>
      </w:r>
    </w:p>
    <w:p w14:paraId="41793B85">
      <w:pPr>
        <w:pStyle w:val="25"/>
        <w:numPr>
          <w:ilvl w:val="0"/>
          <w:numId w:val="7"/>
        </w:numPr>
        <w:spacing w:line="276" w:lineRule="auto"/>
        <w:ind w:left="540" w:hanging="540"/>
        <w:jc w:val="both"/>
        <w:rPr>
          <w:highlight w:val="none"/>
        </w:rPr>
      </w:pPr>
      <w:r>
        <w:rPr>
          <w:highlight w:val="none"/>
        </w:rPr>
        <w:t>Người lao động được cấp phát dụng cụ làm việc, trang bị bảo hộ lao động và đồng phục phù hợp vị trí công việc.</w:t>
      </w:r>
    </w:p>
    <w:p w14:paraId="62ED470A">
      <w:pPr>
        <w:pStyle w:val="25"/>
        <w:numPr>
          <w:ilvl w:val="0"/>
          <w:numId w:val="7"/>
        </w:numPr>
        <w:spacing w:line="276" w:lineRule="auto"/>
        <w:ind w:left="540" w:hanging="540"/>
        <w:jc w:val="both"/>
        <w:rPr>
          <w:highlight w:val="none"/>
        </w:rPr>
      </w:pPr>
      <w:r>
        <w:rPr>
          <w:highlight w:val="none"/>
        </w:rPr>
        <w:t>Công ty tổ chức huấn luyện an toàn, vệ sinh lao động theo nhóm đối tượng trước khi Người lao động làm việc tại công trường.</w:t>
      </w:r>
    </w:p>
    <w:p w14:paraId="43CB2FC9">
      <w:pPr>
        <w:pStyle w:val="25"/>
        <w:numPr>
          <w:ilvl w:val="0"/>
          <w:numId w:val="7"/>
        </w:numPr>
        <w:spacing w:after="120" w:line="276" w:lineRule="auto"/>
        <w:ind w:left="547" w:hanging="547"/>
        <w:jc w:val="both"/>
        <w:rPr>
          <w:rFonts w:eastAsia="Arial"/>
          <w:i/>
          <w:iCs/>
          <w:highlight w:val="none"/>
        </w:rPr>
      </w:pPr>
      <w:r>
        <w:rPr>
          <w:highlight w:val="none"/>
        </w:rPr>
        <w:t>Công ty có thể mua bảo hiểm tai nạn cho Người lao động theo chính sách từng thời kỳ.</w:t>
      </w:r>
    </w:p>
    <w:p w14:paraId="64F51419">
      <w:pPr>
        <w:spacing w:line="276" w:lineRule="auto"/>
        <w:jc w:val="both"/>
        <w:rPr>
          <w:highlight w:val="none"/>
        </w:rPr>
      </w:pPr>
      <w:r>
        <w:rPr>
          <w:b/>
          <w:bCs/>
          <w:highlight w:val="none"/>
        </w:rPr>
        <w:t>Điều 7. Đào tạo, bồi dưỡng, nâng cao trình độ kỹ năng nghề</w:t>
      </w:r>
    </w:p>
    <w:p w14:paraId="2910FA5F">
      <w:pPr>
        <w:pStyle w:val="25"/>
        <w:numPr>
          <w:ilvl w:val="0"/>
          <w:numId w:val="8"/>
        </w:numPr>
        <w:spacing w:after="80" w:line="276" w:lineRule="auto"/>
        <w:ind w:left="540" w:hanging="540"/>
        <w:jc w:val="both"/>
        <w:rPr>
          <w:highlight w:val="none"/>
        </w:rPr>
      </w:pPr>
      <w:r>
        <w:rPr>
          <w:highlight w:val="none"/>
        </w:rPr>
        <w:t>Công ty đào tạo trực tiếp tại Công ty hoặc cử Người lao động đi đào tạo theo Quy chế của Công ty tại từng thời điểm.</w:t>
      </w:r>
    </w:p>
    <w:p w14:paraId="0B61C896">
      <w:pPr>
        <w:pStyle w:val="25"/>
        <w:numPr>
          <w:ilvl w:val="0"/>
          <w:numId w:val="8"/>
        </w:numPr>
        <w:spacing w:after="80" w:line="276" w:lineRule="auto"/>
        <w:ind w:left="540" w:hanging="540"/>
        <w:jc w:val="both"/>
        <w:rPr>
          <w:highlight w:val="none"/>
        </w:rPr>
      </w:pPr>
      <w:r>
        <w:rPr>
          <w:highlight w:val="none"/>
        </w:rPr>
        <w:t>Trường hợp Người lao động được Công ty cử đi đào tạo, hai bên ký Hợp đồng đào tạo nghề riêng theo quy định của pháp luật, trong đó ghi rõ: nội dung đào tạo, chi phí đào tạo có chứng từ hợp lệ, thời gian cam kết làm việc sau đào tạo và trách nhiệm hoàn trả chi phí.</w:t>
      </w:r>
    </w:p>
    <w:p w14:paraId="4158CD34">
      <w:pPr>
        <w:spacing w:line="276" w:lineRule="auto"/>
        <w:jc w:val="both"/>
        <w:rPr>
          <w:b/>
          <w:bCs/>
          <w:highlight w:val="none"/>
        </w:rPr>
      </w:pPr>
      <w:r>
        <w:rPr>
          <w:b/>
          <w:bCs/>
          <w:highlight w:val="none"/>
        </w:rPr>
        <w:t>Điều 8. Nghĩa vụ và quyền của Người lao động</w:t>
      </w:r>
    </w:p>
    <w:p w14:paraId="06C50BE7">
      <w:pPr>
        <w:pStyle w:val="25"/>
        <w:numPr>
          <w:ilvl w:val="0"/>
          <w:numId w:val="9"/>
        </w:numPr>
        <w:spacing w:line="276" w:lineRule="auto"/>
        <w:ind w:left="540" w:hanging="540"/>
        <w:jc w:val="both"/>
        <w:rPr>
          <w:b/>
          <w:bCs/>
          <w:highlight w:val="none"/>
        </w:rPr>
      </w:pPr>
      <w:r>
        <w:rPr>
          <w:b/>
          <w:bCs/>
          <w:highlight w:val="none"/>
        </w:rPr>
        <w:t>Cam kết của Người lao động, Quy tắc ứng xử và Chống tham nhũng</w:t>
      </w:r>
    </w:p>
    <w:p w14:paraId="50663F62">
      <w:pPr>
        <w:pStyle w:val="25"/>
        <w:numPr>
          <w:ilvl w:val="0"/>
          <w:numId w:val="10"/>
        </w:numPr>
        <w:spacing w:line="276" w:lineRule="auto"/>
        <w:ind w:hanging="720"/>
        <w:jc w:val="both"/>
        <w:rPr>
          <w:highlight w:val="none"/>
        </w:rPr>
      </w:pPr>
      <w:r>
        <w:rPr>
          <w:highlight w:val="none"/>
        </w:rPr>
        <w:t>Đọc và cam kết tuân thủ Nội quy lao động, Thỏa ước lao động tập thể, các quy chế, quy định, quy trình, quyết định, văn bản khác của Công ty tại từng thời điểm.</w:t>
      </w:r>
    </w:p>
    <w:p w14:paraId="7D9A81B7">
      <w:pPr>
        <w:pStyle w:val="25"/>
        <w:numPr>
          <w:ilvl w:val="0"/>
          <w:numId w:val="10"/>
        </w:numPr>
        <w:spacing w:line="276" w:lineRule="auto"/>
        <w:ind w:hanging="720"/>
        <w:jc w:val="both"/>
        <w:rPr>
          <w:highlight w:val="none"/>
        </w:rPr>
      </w:pPr>
      <w:r>
        <w:rPr>
          <w:highlight w:val="none"/>
        </w:rPr>
        <w:t>Trong quá trình đang làm việc tại Công ty, nếu người lao động ký thêm hoặc chấm dứt hợp đồng lao động có thời hạn từ đủ 01 tháng trở lên với người sử dụng lao động khác thì cần thông báo cho Công ty bằng văn bản (hoặc thông báo tới email của Công ty nêu ở phần đầu hợp đồng này) để Công ty xem xét điều chỉnh việc đóng bảo hiểm bắt buộc cho người lao động (nếu cần) theo quy định pháp luật.</w:t>
      </w:r>
    </w:p>
    <w:p w14:paraId="2B6F57FF">
      <w:pPr>
        <w:pStyle w:val="25"/>
        <w:numPr>
          <w:ilvl w:val="0"/>
          <w:numId w:val="10"/>
        </w:numPr>
        <w:spacing w:line="276" w:lineRule="auto"/>
        <w:ind w:hanging="720"/>
        <w:jc w:val="both"/>
        <w:rPr>
          <w:highlight w:val="none"/>
        </w:rPr>
      </w:pPr>
      <w:r>
        <w:rPr>
          <w:highlight w:val="none"/>
        </w:rPr>
        <w:t>Quy tắc ứng xử và Chống tham nhũng:</w:t>
      </w:r>
    </w:p>
    <w:p w14:paraId="698F97B1">
      <w:pPr>
        <w:numPr>
          <w:ilvl w:val="0"/>
          <w:numId w:val="11"/>
        </w:numPr>
        <w:spacing w:line="276" w:lineRule="auto"/>
        <w:jc w:val="both"/>
        <w:rPr>
          <w:highlight w:val="none"/>
        </w:rPr>
      </w:pPr>
      <w:r>
        <w:rPr>
          <w:highlight w:val="none"/>
        </w:rPr>
        <w:t>Chấp hành đúng quy tắc ứng xử, chuẩn mực đạo đức nghề nghiệp và văn hóa doanh nghiệp của Công ty.</w:t>
      </w:r>
    </w:p>
    <w:p w14:paraId="44BB5B22">
      <w:pPr>
        <w:numPr>
          <w:ilvl w:val="0"/>
          <w:numId w:val="11"/>
        </w:numPr>
        <w:spacing w:line="276" w:lineRule="auto"/>
        <w:jc w:val="both"/>
        <w:rPr>
          <w:highlight w:val="none"/>
        </w:rPr>
      </w:pPr>
      <w:r>
        <w:rPr>
          <w:highlight w:val="none"/>
        </w:rPr>
        <w:t>Tuyệt đối không lợi dụng chức vụ, quyền hạn để trục lợi cá nhân; không nhận bất kỳ khoản tiền, quà tặng, hoa hồng, chiết khấu hoặc lợi ích vật chất nào khác từ khách hàng, nhà cung cấp hoặc đối tác của Công ty.</w:t>
      </w:r>
    </w:p>
    <w:p w14:paraId="62A40E87">
      <w:pPr>
        <w:numPr>
          <w:ilvl w:val="0"/>
          <w:numId w:val="11"/>
        </w:numPr>
        <w:spacing w:line="276" w:lineRule="auto"/>
        <w:jc w:val="both"/>
        <w:rPr>
          <w:highlight w:val="none"/>
        </w:rPr>
      </w:pPr>
      <w:r>
        <w:rPr>
          <w:highlight w:val="none"/>
        </w:rPr>
        <w:t>Không tham gia, góp vốn hoặc hỗ trợ cho bất kỳ hoạt động kinh doanh nào có tính chất cạnh tranh trực tiếp hoặc gián tiếp với ngành nghề kinh doanh của Công ty khi chưa được sự đồng ý bằng văn bản của Ban Giám đốc.</w:t>
      </w:r>
    </w:p>
    <w:p w14:paraId="4ACE2F74">
      <w:pPr>
        <w:pStyle w:val="25"/>
        <w:numPr>
          <w:ilvl w:val="0"/>
          <w:numId w:val="9"/>
        </w:numPr>
        <w:spacing w:line="276" w:lineRule="auto"/>
        <w:ind w:left="540" w:hanging="540"/>
        <w:jc w:val="both"/>
        <w:rPr>
          <w:b/>
          <w:bCs/>
          <w:highlight w:val="none"/>
        </w:rPr>
      </w:pPr>
      <w:r>
        <w:rPr>
          <w:b/>
          <w:bCs/>
          <w:highlight w:val="none"/>
        </w:rPr>
        <w:t>Bảo mật thông tin, Bảo mật lương và hạn chế cạnh tranh</w:t>
      </w:r>
    </w:p>
    <w:p w14:paraId="62FF49E2">
      <w:pPr>
        <w:pStyle w:val="25"/>
        <w:numPr>
          <w:ilvl w:val="0"/>
          <w:numId w:val="12"/>
        </w:numPr>
        <w:spacing w:line="276" w:lineRule="auto"/>
        <w:ind w:left="720" w:hanging="720"/>
        <w:jc w:val="both"/>
        <w:rPr>
          <w:highlight w:val="none"/>
        </w:rPr>
      </w:pPr>
      <w:r>
        <w:rPr>
          <w:highlight w:val="none"/>
        </w:rPr>
        <w:t>Người lao động có nghĩa vụ bảo mật các thông tin thuộc phạm vi bảo mật của Công ty, bao gồm nhưng không giới hạn ở thông tin kinh doanh, khách hàng, dự án, tài liệu nội bộ, dữ liệu và thông tin về tiền lương, thu nhập của bản thân và các thông tin khác theo quy định của Công ty.</w:t>
      </w:r>
    </w:p>
    <w:p w14:paraId="76C24DA6">
      <w:pPr>
        <w:pStyle w:val="25"/>
        <w:numPr>
          <w:ilvl w:val="0"/>
          <w:numId w:val="12"/>
        </w:numPr>
        <w:spacing w:line="276" w:lineRule="auto"/>
        <w:ind w:left="720" w:hanging="720"/>
        <w:jc w:val="both"/>
        <w:rPr>
          <w:rFonts w:eastAsia="Arial"/>
          <w:iCs/>
          <w:highlight w:val="none"/>
        </w:rPr>
      </w:pPr>
      <w:r>
        <w:rPr>
          <w:highlight w:val="none"/>
        </w:rPr>
        <w:t>Các nghĩa vụ về bảo mật thông tin, bảo mật tiền lương và hạn chế cạnh tranh được thực hiện theo Thỏa thuận được ký kết riêng giữa Công ty và Người lao động.</w:t>
      </w:r>
    </w:p>
    <w:p w14:paraId="1729BE63">
      <w:pPr>
        <w:pStyle w:val="25"/>
        <w:numPr>
          <w:ilvl w:val="0"/>
          <w:numId w:val="12"/>
        </w:numPr>
        <w:spacing w:line="276" w:lineRule="auto"/>
        <w:ind w:left="720" w:hanging="720"/>
        <w:jc w:val="both"/>
        <w:rPr>
          <w:rFonts w:eastAsia="Arial"/>
          <w:i/>
          <w:iCs/>
          <w:highlight w:val="none"/>
        </w:rPr>
      </w:pPr>
      <w:r>
        <w:rPr>
          <w:highlight w:val="none"/>
        </w:rPr>
        <w:t>Trường hợp Người lao động vi phạm các nghĩa vụ đã thỏa thuận, Người lao động có trách nhiệm bồi thường thiệt hại thực tế, trực tiếp phát sinh cho Công ty (nếu có), đồng thời chịu các trách nhiệm khác theo quy định pháp luật và quy định nội bộ của Công ty.</w:t>
      </w:r>
    </w:p>
    <w:p w14:paraId="377990CA">
      <w:pPr>
        <w:pStyle w:val="25"/>
        <w:numPr>
          <w:ilvl w:val="0"/>
          <w:numId w:val="9"/>
        </w:numPr>
        <w:spacing w:line="276" w:lineRule="auto"/>
        <w:ind w:left="540" w:hanging="540"/>
        <w:jc w:val="both"/>
        <w:rPr>
          <w:b/>
          <w:bCs/>
          <w:highlight w:val="none"/>
        </w:rPr>
      </w:pPr>
      <w:r>
        <w:rPr>
          <w:b/>
          <w:bCs/>
          <w:highlight w:val="none"/>
        </w:rPr>
        <w:t>Quyền đơn phương chấm dứt Hợp đồng lao động</w:t>
      </w:r>
    </w:p>
    <w:p w14:paraId="4DB47165">
      <w:pPr>
        <w:spacing w:line="276" w:lineRule="auto"/>
        <w:ind w:firstLine="540"/>
        <w:jc w:val="both"/>
        <w:rPr>
          <w:highlight w:val="none"/>
        </w:rPr>
      </w:pPr>
      <w:r>
        <w:rPr>
          <w:highlight w:val="none"/>
        </w:rPr>
        <w:t>Người lao động có quyền đơn phương chấm dứt Hợp đồng lao động bằng một thông báo trước ít nhất 30 ngày. Trong các trường hợp đặc biệt được quy định tại Bộ luật Lao động, Người lao động được quyền chấm dứt ngay mà không phải báo trước.</w:t>
      </w:r>
    </w:p>
    <w:p w14:paraId="1E6F0BA1">
      <w:pPr>
        <w:pStyle w:val="25"/>
        <w:numPr>
          <w:ilvl w:val="0"/>
          <w:numId w:val="9"/>
        </w:numPr>
        <w:spacing w:line="276" w:lineRule="auto"/>
        <w:ind w:left="540" w:hanging="540"/>
        <w:jc w:val="both"/>
        <w:rPr>
          <w:b/>
          <w:bCs/>
          <w:highlight w:val="none"/>
        </w:rPr>
      </w:pPr>
      <w:r>
        <w:rPr>
          <w:b/>
          <w:bCs/>
          <w:highlight w:val="none"/>
        </w:rPr>
        <w:t>Bàn giao khi chấm dứt Hợp đồng</w:t>
      </w:r>
    </w:p>
    <w:p w14:paraId="251DF475">
      <w:pPr>
        <w:pStyle w:val="25"/>
        <w:numPr>
          <w:ilvl w:val="0"/>
          <w:numId w:val="13"/>
        </w:numPr>
        <w:spacing w:line="276" w:lineRule="auto"/>
        <w:ind w:left="720" w:hanging="720"/>
        <w:jc w:val="both"/>
        <w:rPr>
          <w:highlight w:val="none"/>
        </w:rPr>
      </w:pPr>
      <w:r>
        <w:rPr>
          <w:highlight w:val="none"/>
        </w:rPr>
        <w:t>Khi chấm dứt Hợp đồng, Người lao động có trách nhiệm bàn giao đầy đủ, nguyên vẹn và đúng hạn toàn bộ tài sản, công cụ dụng cụ, dữ liệu, tài liệu, tài khoản hệ thống cho người được Công ty chỉ định tiếp nhận.</w:t>
      </w:r>
    </w:p>
    <w:p w14:paraId="09380599">
      <w:pPr>
        <w:pStyle w:val="25"/>
        <w:numPr>
          <w:ilvl w:val="0"/>
          <w:numId w:val="13"/>
        </w:numPr>
        <w:spacing w:line="276" w:lineRule="auto"/>
        <w:ind w:left="720" w:hanging="720"/>
        <w:jc w:val="both"/>
        <w:rPr>
          <w:highlight w:val="none"/>
        </w:rPr>
      </w:pPr>
      <w:r>
        <w:rPr>
          <w:highlight w:val="none"/>
        </w:rPr>
        <w:t>Hai bên thanh toán đầy đủ các khoản liên quan đến quyền lợi của mỗi bên trong thời hạn 14 ngày làm việc kể từ ngày chấm dứt Hợp đồng; trường hợp đặc biệt theo khoản 1 Điều 48 Bộ luật Lao động, thời hạn này không quá 30 ngày.</w:t>
      </w:r>
    </w:p>
    <w:p w14:paraId="453B70EF">
      <w:pPr>
        <w:pStyle w:val="25"/>
        <w:numPr>
          <w:ilvl w:val="0"/>
          <w:numId w:val="9"/>
        </w:numPr>
        <w:spacing w:line="276" w:lineRule="auto"/>
        <w:ind w:left="540" w:hanging="540"/>
        <w:jc w:val="both"/>
        <w:rPr>
          <w:b/>
          <w:bCs/>
          <w:highlight w:val="none"/>
        </w:rPr>
      </w:pPr>
      <w:r>
        <w:rPr>
          <w:b/>
          <w:bCs/>
          <w:highlight w:val="none"/>
        </w:rPr>
        <w:t>Trách nhiệm vật chất, bồi thường thiệt hại tài sản và Chấm dứt trái luật</w:t>
      </w:r>
    </w:p>
    <w:p w14:paraId="14685D10">
      <w:pPr>
        <w:spacing w:after="90" w:line="276" w:lineRule="auto"/>
        <w:jc w:val="both"/>
        <w:rPr>
          <w:highlight w:val="none"/>
        </w:rPr>
      </w:pPr>
      <w:r>
        <w:rPr>
          <w:highlight w:val="none"/>
        </w:rPr>
        <w:t>8.5.1. Chấm dứt trái pháp luật: Trường hợp Người lao động đơn phương chấm dứt Hợp đồng trái pháp luật, Người lao động thực hiện nghĩa vụ bồi thường theo quy định tại Bộ luật Lao động và các quy định nội bộ liên quan.</w:t>
      </w:r>
    </w:p>
    <w:p w14:paraId="02C6F94C">
      <w:pPr>
        <w:spacing w:after="90" w:line="276" w:lineRule="auto"/>
        <w:jc w:val="both"/>
        <w:rPr>
          <w:highlight w:val="none"/>
        </w:rPr>
      </w:pPr>
      <w:r>
        <w:rPr>
          <w:highlight w:val="none"/>
        </w:rPr>
        <w:t>8.5.2. Trách nhiệm vật chất: Người lao động có trách nhiệm giữ gìn, bảo quản tài sản, thiết bị và công cụ dụng cụ được bàn giao. Trường hợp làm mất mát, hư hỏng thiết bị, tài sản của Công ty do sơ suất hoặc cố ý, Người lao động có trách nhiệm bồi thường theo mức độ lỗi, giá trị thiệt hại thực tế và quy định của pháp luật.</w:t>
      </w:r>
    </w:p>
    <w:p w14:paraId="26567ADA">
      <w:pPr>
        <w:spacing w:after="90" w:line="276" w:lineRule="auto"/>
        <w:jc w:val="both"/>
        <w:rPr>
          <w:highlight w:val="none"/>
        </w:rPr>
      </w:pPr>
      <w:r>
        <w:rPr>
          <w:highlight w:val="none"/>
        </w:rPr>
        <w:t>8.5.3. Khấu trừ lương bồi thường: Công ty được quyền khấu trừ tiền lương của Người lao động để bồi thường thiệt hại do làm hư hỏng dụng cụ, thiết bị, tài sản của Công ty theo quy định tại Bộ luật Lao động và các quy định nội bộ liên quan.</w:t>
      </w:r>
    </w:p>
    <w:p w14:paraId="5EB3D769">
      <w:pPr>
        <w:pStyle w:val="25"/>
        <w:numPr>
          <w:ilvl w:val="0"/>
          <w:numId w:val="9"/>
        </w:numPr>
        <w:spacing w:line="276" w:lineRule="auto"/>
        <w:ind w:left="540" w:hanging="540"/>
        <w:jc w:val="both"/>
        <w:rPr>
          <w:b/>
          <w:bCs/>
          <w:highlight w:val="none"/>
        </w:rPr>
      </w:pPr>
      <w:r>
        <w:rPr>
          <w:b/>
          <w:bCs/>
          <w:highlight w:val="none"/>
        </w:rPr>
        <w:t>Xử lý dữ liệu cá nhân</w:t>
      </w:r>
    </w:p>
    <w:p w14:paraId="345BBC4C">
      <w:pPr>
        <w:spacing w:after="90" w:line="276" w:lineRule="auto"/>
        <w:ind w:firstLine="540"/>
        <w:jc w:val="both"/>
        <w:rPr>
          <w:highlight w:val="none"/>
        </w:rPr>
      </w:pPr>
      <w:r>
        <w:rPr>
          <w:highlight w:val="none"/>
        </w:rPr>
        <w:t>Người lao động đồng ý cho Công ty thu thập, lưu trữ và xử lý dữ liệu cá nhân phục vụ mục đích quản lý lao động, chi trả lương, thực hiện nghĩa vụ bảo hiểm và thuế.</w:t>
      </w:r>
    </w:p>
    <w:p w14:paraId="3E5391B1">
      <w:pPr>
        <w:pStyle w:val="25"/>
        <w:numPr>
          <w:ilvl w:val="0"/>
          <w:numId w:val="9"/>
        </w:numPr>
        <w:spacing w:line="276" w:lineRule="auto"/>
        <w:ind w:left="540" w:hanging="540"/>
        <w:jc w:val="both"/>
        <w:rPr>
          <w:b/>
          <w:bCs/>
          <w:highlight w:val="none"/>
        </w:rPr>
      </w:pPr>
      <w:r>
        <w:rPr>
          <w:b/>
          <w:bCs/>
          <w:highlight w:val="none"/>
        </w:rPr>
        <w:t>Nghĩa vụ thuế</w:t>
      </w:r>
    </w:p>
    <w:p w14:paraId="2709043A">
      <w:pPr>
        <w:spacing w:after="90" w:line="276" w:lineRule="auto"/>
        <w:ind w:firstLine="540"/>
        <w:jc w:val="both"/>
        <w:rPr>
          <w:highlight w:val="none"/>
        </w:rPr>
      </w:pPr>
      <w:r>
        <w:rPr>
          <w:highlight w:val="none"/>
        </w:rPr>
        <w:t>Công ty thực hiện khấu trừ thuế thu nhập cá nhân của Người lao động theo quy định của pháp luật trước khi chi trả thu nhập hằng tháng.</w:t>
      </w:r>
    </w:p>
    <w:p w14:paraId="1FF3DF24">
      <w:pPr>
        <w:spacing w:before="120" w:line="276" w:lineRule="auto"/>
        <w:rPr>
          <w:highlight w:val="none"/>
        </w:rPr>
      </w:pPr>
      <w:r>
        <w:rPr>
          <w:b/>
          <w:bCs/>
          <w:highlight w:val="none"/>
        </w:rPr>
        <w:t>Điều 9. Nghĩa vụ và quyền của Công ty</w:t>
      </w:r>
    </w:p>
    <w:p w14:paraId="69C43926">
      <w:pPr>
        <w:pStyle w:val="25"/>
        <w:numPr>
          <w:ilvl w:val="0"/>
          <w:numId w:val="14"/>
        </w:numPr>
        <w:spacing w:after="80" w:line="276" w:lineRule="auto"/>
        <w:ind w:left="540" w:hanging="540"/>
        <w:jc w:val="both"/>
        <w:rPr>
          <w:highlight w:val="none"/>
        </w:rPr>
      </w:pPr>
      <w:r>
        <w:rPr>
          <w:highlight w:val="none"/>
        </w:rPr>
        <w:t>Nghĩa vụ: Bảo đảm việc làm và điều kiện làm việc theo Hợp đồng; thanh toán đầy đủ, đúng hạn tiền lương và các chế độ.</w:t>
      </w:r>
    </w:p>
    <w:p w14:paraId="27D1552D">
      <w:pPr>
        <w:pStyle w:val="25"/>
        <w:numPr>
          <w:ilvl w:val="0"/>
          <w:numId w:val="14"/>
        </w:numPr>
        <w:spacing w:after="80" w:line="276" w:lineRule="auto"/>
        <w:ind w:left="540" w:hanging="540"/>
        <w:jc w:val="both"/>
        <w:rPr>
          <w:highlight w:val="none"/>
        </w:rPr>
      </w:pPr>
      <w:r>
        <w:rPr>
          <w:highlight w:val="none"/>
        </w:rPr>
        <w:t>Quyền: Điều hành, bố trí công việc phù hợp chức danh; đánh giá kết quả công việc; xử lý kỷ luật lao động theo Nội quy lao động đã đăng ký và theo Bộ luật Lao động.</w:t>
      </w:r>
    </w:p>
    <w:p w14:paraId="24BD682E">
      <w:pPr>
        <w:pStyle w:val="25"/>
        <w:numPr>
          <w:ilvl w:val="0"/>
          <w:numId w:val="14"/>
        </w:numPr>
        <w:spacing w:after="80" w:line="276" w:lineRule="auto"/>
        <w:ind w:left="540" w:hanging="540"/>
        <w:jc w:val="both"/>
        <w:rPr>
          <w:highlight w:val="none"/>
        </w:rPr>
      </w:pPr>
      <w:r>
        <w:rPr>
          <w:highlight w:val="none"/>
        </w:rPr>
        <w:t>Chuyển người lao động làm công việc khác so với Hợp đồng: Công ty được tạm thời chuyển Người lao động làm công việc khác so với Hợp đồng khi thuộc các trường hợp pháp luật cho phép. Công ty thông báo cho Người lao động trước ít nhất 03 ngày làm việc về thời hạn, công việc và tiền lương theo công việc mới. Tiền lương trong thời gian chuyển công việc được thực hiện theo quy định của pháp luật.</w:t>
      </w:r>
    </w:p>
    <w:p w14:paraId="11527578">
      <w:pPr>
        <w:pStyle w:val="25"/>
        <w:numPr>
          <w:ilvl w:val="0"/>
          <w:numId w:val="14"/>
        </w:numPr>
        <w:spacing w:after="80" w:line="276" w:lineRule="auto"/>
        <w:ind w:left="540" w:hanging="540"/>
        <w:jc w:val="both"/>
        <w:rPr>
          <w:highlight w:val="none"/>
        </w:rPr>
      </w:pPr>
      <w:r>
        <w:rPr>
          <w:highlight w:val="none"/>
        </w:rPr>
        <w:t>Tạm hoãn thực hiện Hợp đồng lao động: theo quy định của pháp luật và quy định trong các văn bản nội bộ của Công ty tại từng thời điểm.</w:t>
      </w:r>
    </w:p>
    <w:p w14:paraId="23713E62">
      <w:pPr>
        <w:spacing w:before="180" w:line="276" w:lineRule="auto"/>
        <w:rPr>
          <w:b/>
          <w:bCs/>
          <w:highlight w:val="none"/>
        </w:rPr>
      </w:pPr>
      <w:bookmarkStart w:id="2" w:name="_Hlk235102347"/>
      <w:r>
        <w:rPr>
          <w:b/>
          <w:bCs/>
          <w:highlight w:val="none"/>
        </w:rPr>
        <w:t>Điều 10. Điều khoản về quyền sở hữu trí tuệ</w:t>
      </w:r>
    </w:p>
    <w:p w14:paraId="4A72FB82">
      <w:pPr>
        <w:spacing w:after="80" w:line="276" w:lineRule="auto"/>
        <w:ind w:firstLine="540"/>
        <w:jc w:val="both"/>
        <w:rPr>
          <w:highlight w:val="none"/>
        </w:rPr>
      </w:pPr>
      <w:bookmarkStart w:id="3" w:name="_Hlk235109991"/>
      <w:r>
        <w:rPr>
          <w:highlight w:val="none"/>
        </w:rPr>
        <w:t>Các sản phầm trí tuệ do Người lao động tạo ra trong phạm vi nhiệm vụ được Công ty giao, bằng thời gian làm việc, nguồn lực, kinh phí hoặc thông tin của Công ty sẽ thuộc quyền sở hữu của Công ty theo quy định của Pháp luật.</w:t>
      </w:r>
    </w:p>
    <w:bookmarkEnd w:id="2"/>
    <w:bookmarkEnd w:id="3"/>
    <w:p w14:paraId="38279620">
      <w:pPr>
        <w:spacing w:line="276" w:lineRule="auto"/>
        <w:jc w:val="both"/>
        <w:rPr>
          <w:highlight w:val="none"/>
        </w:rPr>
      </w:pPr>
      <w:r>
        <w:rPr>
          <w:b/>
          <w:bCs/>
          <w:highlight w:val="none"/>
        </w:rPr>
        <w:t>Điều 11. Điều khoản thi hành</w:t>
      </w:r>
    </w:p>
    <w:p w14:paraId="61B712AE">
      <w:pPr>
        <w:pStyle w:val="25"/>
        <w:numPr>
          <w:ilvl w:val="0"/>
          <w:numId w:val="15"/>
        </w:numPr>
        <w:spacing w:after="80" w:line="276" w:lineRule="auto"/>
        <w:ind w:left="540" w:hanging="540"/>
        <w:jc w:val="both"/>
        <w:rPr>
          <w:highlight w:val="none"/>
        </w:rPr>
      </w:pPr>
      <w:r>
        <w:rPr>
          <w:highlight w:val="none"/>
        </w:rPr>
        <w:t>Những nội dung không ghi trong Hợp đồng này thì áp dụng theo Nội quy lao động, Thỏa ước lao động tập thể và pháp luật lao động.</w:t>
      </w:r>
    </w:p>
    <w:p w14:paraId="47547ADF">
      <w:pPr>
        <w:pStyle w:val="25"/>
        <w:numPr>
          <w:ilvl w:val="0"/>
          <w:numId w:val="15"/>
        </w:numPr>
        <w:spacing w:after="80" w:line="276" w:lineRule="auto"/>
        <w:ind w:left="540" w:hanging="540"/>
        <w:jc w:val="both"/>
        <w:rPr>
          <w:highlight w:val="none"/>
        </w:rPr>
      </w:pPr>
      <w:r>
        <w:rPr>
          <w:highlight w:val="none"/>
        </w:rPr>
        <w:t>Hợp đồng lao động này được các bên thỏa thuận và nhất trí thông qua trong điều kiện tinh thần hoàn toàn tỉnh táo, không bị ép buộc, trên nguyên tắc tự nguyện, bình đẳng, thiện chí, hợp tác và trung thực. Các bên đã đọc, hiểu và đồng ý với toàn bộ nội dung hợp đồng này.</w:t>
      </w:r>
    </w:p>
    <w:p w14:paraId="0EFA98CD">
      <w:pPr>
        <w:pStyle w:val="25"/>
        <w:numPr>
          <w:ilvl w:val="0"/>
          <w:numId w:val="15"/>
        </w:numPr>
        <w:spacing w:after="240" w:line="276" w:lineRule="auto"/>
        <w:ind w:left="547" w:hanging="547"/>
        <w:jc w:val="both"/>
        <w:rPr>
          <w:highlight w:val="none"/>
        </w:rPr>
      </w:pPr>
      <w:r>
        <w:rPr>
          <w:highlight w:val="none"/>
        </w:rPr>
        <w:t>Hợp đồng lập thành 02 bản có giá trị như nhau, mỗi bên giữ 01 bản, có hiệu lực kể từ ngày ký.</w:t>
      </w:r>
    </w:p>
    <w:tbl>
      <w:tblPr>
        <w:tblStyle w:val="9"/>
        <w:tblW w:w="0" w:type="auto"/>
        <w:tblInd w:w="0" w:type="dxa"/>
        <w:tblLayout w:type="autofit"/>
        <w:tblCellMar>
          <w:top w:w="0" w:type="dxa"/>
          <w:left w:w="10" w:type="dxa"/>
          <w:bottom w:w="0" w:type="dxa"/>
          <w:right w:w="10" w:type="dxa"/>
        </w:tblCellMar>
      </w:tblPr>
      <w:tblGrid>
        <w:gridCol w:w="4500"/>
        <w:gridCol w:w="4500"/>
      </w:tblGrid>
      <w:tr w14:paraId="2713C930">
        <w:tblPrEx>
          <w:tblCellMar>
            <w:top w:w="0" w:type="dxa"/>
            <w:left w:w="10" w:type="dxa"/>
            <w:bottom w:w="0" w:type="dxa"/>
            <w:right w:w="10" w:type="dxa"/>
          </w:tblCellMar>
        </w:tblPrEx>
        <w:tc>
          <w:tcPr>
            <w:tcW w:w="4500" w:type="dxa"/>
          </w:tcPr>
          <w:p w14:paraId="3EC4B781">
            <w:pPr>
              <w:spacing w:after="60" w:line="276" w:lineRule="auto"/>
              <w:jc w:val="center"/>
              <w:rPr>
                <w:highlight w:val="none"/>
              </w:rPr>
            </w:pPr>
            <w:r>
              <w:rPr>
                <w:b/>
                <w:bCs/>
                <w:highlight w:val="none"/>
              </w:rPr>
              <w:t>NGƯỜI LAO ĐỘNG</w:t>
            </w:r>
          </w:p>
          <w:p w14:paraId="1BC0B133">
            <w:pPr>
              <w:keepNext w:val="0"/>
              <w:keepLines w:val="0"/>
              <w:pageBreakBefore w:val="0"/>
              <w:spacing w:line="276" w:lineRule="auto"/>
              <w:jc w:val="center"/>
              <w:rPr>
                <w:rFonts w:hint="default"/>
                <w:highlight w:val="none"/>
                <w:lang w:val="en-US"/>
              </w:rPr>
            </w:pPr>
            <w:r>
              <w:rPr>
                <w:i/>
                <w:iCs/>
                <w:highlight w:val="none"/>
              </w:rPr>
              <w:t>(Ký, ghi rõ họ tên)</w:t>
            </w:r>
            <w:r>
              <w:rPr>
                <w:i/>
                <w:iCs/>
                <w:highlight w:val="none"/>
                <w:lang w:val="en-US"/>
              </w:rPr>
              <w:br w:type="textWrapping"/>
            </w:r>
            <w:r>
              <w:rPr>
                <w:i/>
                <w:iCs/>
                <w:highlight w:val="none"/>
                <w:lang w:val="en-US"/>
              </w:rPr>
              <w:br w:type="textWrapping"/>
            </w:r>
            <w:r>
              <w:rPr>
                <w:i/>
                <w:iCs/>
                <w:highlight w:val="none"/>
                <w:lang w:val="en-US"/>
              </w:rPr>
              <w:br w:type="textWrapping"/>
            </w:r>
            <w:r>
              <w:rPr>
                <w:i/>
                <w:iCs/>
                <w:highlight w:val="none"/>
                <w:lang w:val="en-US"/>
              </w:rPr>
              <w:br w:type="textWrapping"/>
            </w:r>
            <w:r>
              <w:rPr>
                <w:i/>
                <w:iCs/>
                <w:highlight w:val="none"/>
                <w:lang w:val="en-US"/>
              </w:rPr>
              <w:br w:type="textWrapping"/>
            </w:r>
            <w:r>
              <w:rPr>
                <w:i/>
                <w:iCs/>
                <w:highlight w:val="none"/>
                <w:lang w:val="en-US"/>
              </w:rPr>
              <w:br w:type="textWrapping"/>
            </w:r>
            <w:r>
              <w:rPr>
                <w:rFonts w:hint="default" w:ascii="Times New Roman" w:hAnsi="Times New Roman" w:cs="Times New Roman"/>
                <w:b/>
                <w:i w:val="0"/>
                <w:iCs/>
                <w:sz w:val="24"/>
                <w:highlight w:val="none"/>
                <w:lang w:val="en-US"/>
              </w:rPr>
              <w:t>TRẦN LONG VŨ</w:t>
            </w:r>
          </w:p>
        </w:tc>
        <w:tc>
          <w:tcPr>
            <w:tcW w:w="4500" w:type="dxa"/>
          </w:tcPr>
          <w:p w14:paraId="4A5AA321">
            <w:pPr>
              <w:spacing w:after="60" w:line="276" w:lineRule="auto"/>
              <w:jc w:val="center"/>
              <w:rPr>
                <w:highlight w:val="none"/>
              </w:rPr>
            </w:pPr>
            <w:r>
              <w:rPr>
                <w:b/>
                <w:bCs/>
                <w:highlight w:val="none"/>
              </w:rPr>
              <w:t>NGƯỜI SỬ DỤNG LAO ĐỘNG</w:t>
            </w:r>
          </w:p>
          <w:p w14:paraId="12310C45">
            <w:pPr>
              <w:keepNext w:val="0"/>
              <w:keepLines w:val="0"/>
              <w:pageBreakBefore w:val="0"/>
              <w:spacing w:line="276" w:lineRule="auto"/>
              <w:jc w:val="center"/>
              <w:rPr>
                <w:rFonts w:hint="default"/>
                <w:b/>
                <w:highlight w:val="none"/>
                <w:lang w:val="en-US"/>
              </w:rPr>
            </w:pPr>
            <w:r>
              <w:rPr>
                <w:b/>
                <w:highlight w:val="none"/>
              </w:rPr>
              <w:t>GIÁM ĐỐC</w:t>
            </w:r>
            <w:r>
              <w:rPr>
                <w:b/>
                <w:highlight w:val="none"/>
                <w:lang w:val="en-US"/>
              </w:rPr>
              <w:br w:type="textWrapping"/>
            </w:r>
            <w:r>
              <w:rPr>
                <w:b/>
                <w:highlight w:val="none"/>
                <w:lang w:val="en-US"/>
              </w:rPr>
              <w:br w:type="textWrapping"/>
            </w:r>
            <w:r>
              <w:rPr>
                <w:b/>
                <w:highlight w:val="none"/>
                <w:lang w:val="en-US"/>
              </w:rPr>
              <w:br w:type="textWrapping"/>
            </w:r>
            <w:r>
              <w:rPr>
                <w:b/>
                <w:highlight w:val="none"/>
                <w:lang w:val="en-US"/>
              </w:rPr>
              <w:br w:type="textWrapping"/>
            </w:r>
            <w:r>
              <w:rPr>
                <w:b/>
                <w:highlight w:val="none"/>
                <w:lang w:val="en-US"/>
              </w:rPr>
              <w:br w:type="textWrapping"/>
            </w:r>
            <w:r>
              <w:rPr>
                <w:b/>
                <w:highlight w:val="none"/>
                <w:lang w:val="en-US"/>
              </w:rPr>
              <w:br w:type="textWrapping"/>
            </w:r>
            <w:r>
              <w:rPr>
                <w:rFonts w:hint="default" w:ascii="Times New Roman" w:hAnsi="Times New Roman" w:cs="Times New Roman"/>
                <w:b/>
                <w:sz w:val="24"/>
                <w:highlight w:val="none"/>
                <w:lang w:val="en-US"/>
              </w:rPr>
              <w:t>PHẠM QUÝ TRỌNG</w:t>
            </w:r>
            <w:r>
              <w:rPr>
                <w:b/>
                <w:highlight w:val="none"/>
                <w:lang w:val="en-US"/>
              </w:rPr>
              <w:br w:type="textWrapping"/>
            </w:r>
            <w:r>
              <w:rPr>
                <w:b/>
                <w:highlight w:val="none"/>
                <w:lang w:val="en-US"/>
              </w:rPr>
              <w:br w:type="textWrapping"/>
            </w:r>
            <w:r>
              <w:rPr>
                <w:b/>
                <w:highlight w:val="none"/>
                <w:lang w:val="en-US"/>
              </w:rPr>
              <w:br w:type="textWrapping"/>
            </w:r>
            <w:r>
              <w:rPr>
                <w:b/>
                <w:highlight w:val="none"/>
                <w:lang w:val="en-US"/>
              </w:rPr>
              <w:br w:type="textWrapping"/>
            </w:r>
            <w:r>
              <w:rPr>
                <w:b/>
                <w:highlight w:val="none"/>
                <w:lang w:val="en-US"/>
              </w:rPr>
              <w:br w:type="textWrapping"/>
            </w:r>
            <w:r>
              <w:rPr>
                <w:b/>
                <w:highlight w:val="none"/>
                <w:lang w:val="en-US"/>
              </w:rPr>
              <w:br w:type="textWrapping"/>
            </w:r>
            <w:r>
              <w:rPr>
                <w:b/>
                <w:highlight w:val="none"/>
                <w:lang w:val="en-US"/>
              </w:rPr>
              <w:br w:type="textWrapping"/>
            </w:r>
          </w:p>
          <w:p w14:paraId="7EB08064">
            <w:pPr>
              <w:spacing w:line="276" w:lineRule="auto"/>
              <w:jc w:val="center"/>
              <w:rPr>
                <w:b/>
                <w:highlight w:val="none"/>
              </w:rPr>
            </w:pPr>
          </w:p>
          <w:p w14:paraId="543A678D">
            <w:pPr>
              <w:spacing w:after="240" w:line="276" w:lineRule="auto"/>
              <w:rPr>
                <w:b/>
                <w:highlight w:val="none"/>
              </w:rPr>
            </w:pPr>
          </w:p>
          <w:p w14:paraId="5FA3635D">
            <w:pPr>
              <w:spacing w:line="276" w:lineRule="auto"/>
              <w:rPr>
                <w:b/>
                <w:highlight w:val="none"/>
              </w:rPr>
            </w:pPr>
          </w:p>
          <w:p w14:paraId="1A27CA25">
            <w:pPr>
              <w:spacing w:line="276" w:lineRule="auto"/>
              <w:rPr>
                <w:b/>
                <w:highlight w:val="none"/>
              </w:rPr>
            </w:pPr>
            <w:r>
              <w:rPr>
                <w:b/>
                <w:highlight w:val="none"/>
              </w:rPr>
              <w:t xml:space="preserve"> </w:t>
            </w:r>
          </w:p>
          <w:p w14:paraId="03829B60">
            <w:pPr>
              <w:spacing w:line="276" w:lineRule="auto"/>
              <w:jc w:val="center"/>
              <w:rPr>
                <w:b/>
                <w:highlight w:val="none"/>
              </w:rPr>
            </w:pPr>
          </w:p>
          <w:p w14:paraId="4E2CC87A">
            <w:pPr>
              <w:spacing w:line="276" w:lineRule="auto"/>
              <w:jc w:val="center"/>
              <w:rPr>
                <w:highlight w:val="none"/>
              </w:rPr>
            </w:pPr>
          </w:p>
        </w:tc>
      </w:tr>
    </w:tbl>
    <w:p w14:paraId="4D9239E0">
      <w:pPr>
        <w:spacing w:line="276" w:lineRule="auto"/>
        <w:rPr>
          <w:highlight w:val="none"/>
        </w:rPr>
      </w:pPr>
    </w:p>
    <w:sectPr>
      <w:headerReference r:id="rId3" w:type="default"/>
      <w:footerReference r:id="rId4" w:type="default"/>
      <w:pgSz w:w="11906" w:h="16838"/>
      <w:pgMar w:top="900" w:right="851" w:bottom="630" w:left="1418" w:header="864" w:footer="4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4243480"/>
      <w:docPartObj>
        <w:docPartGallery w:val="AutoText"/>
      </w:docPartObj>
    </w:sdtPr>
    <w:sdtContent>
      <w:p w14:paraId="01AECD14">
        <w:pPr>
          <w:pStyle w:val="16"/>
          <w:jc w:val="center"/>
        </w:pPr>
        <w:r>
          <w:fldChar w:fldCharType="begin"/>
        </w:r>
        <w:r>
          <w:instrText xml:space="preserve"> PAGE   \* MERGEFORMAT </w:instrText>
        </w:r>
        <w:r>
          <w:fldChar w:fldCharType="separate"/>
        </w:r>
        <w:r>
          <w:t>4</w:t>
        </w:r>
        <w:r>
          <w:fldChar w:fldCharType="end"/>
        </w:r>
      </w:p>
    </w:sdtContent>
  </w:sdt>
  <w:p w14:paraId="70F69971">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F67C1">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825E01"/>
    <w:multiLevelType w:val="multilevel"/>
    <w:tmpl w:val="06825E01"/>
    <w:lvl w:ilvl="0" w:tentative="0">
      <w:start w:val="1"/>
      <w:numFmt w:val="decimal"/>
      <w:lvlText w:val="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3A112BD"/>
    <w:multiLevelType w:val="multilevel"/>
    <w:tmpl w:val="23A112BD"/>
    <w:lvl w:ilvl="0" w:tentative="0">
      <w:start w:val="1"/>
      <w:numFmt w:val="lowerLetter"/>
      <w:lvlText w:val="%1)"/>
      <w:lvlJc w:val="left"/>
      <w:pPr>
        <w:tabs>
          <w:tab w:val="left" w:pos="1080"/>
        </w:tabs>
        <w:ind w:left="1080" w:hanging="360"/>
      </w:pPr>
      <w:rPr>
        <w:rFonts w:hint="default"/>
        <w:sz w:val="24"/>
        <w:szCs w:val="24"/>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
    <w:nsid w:val="25210B44"/>
    <w:multiLevelType w:val="multilevel"/>
    <w:tmpl w:val="25210B44"/>
    <w:lvl w:ilvl="0" w:tentative="0">
      <w:start w:val="1"/>
      <w:numFmt w:val="decimal"/>
      <w:lvlText w:val="3.%1."/>
      <w:lvlJc w:val="left"/>
      <w:pPr>
        <w:ind w:left="720" w:hanging="360"/>
      </w:pPr>
      <w:rPr>
        <w:rFonts w:hint="default"/>
      </w:rPr>
    </w:lvl>
    <w:lvl w:ilvl="1" w:tentative="0">
      <w:start w:val="2"/>
      <w:numFmt w:val="bullet"/>
      <w:lvlText w:val="-"/>
      <w:lvlJc w:val="left"/>
      <w:pPr>
        <w:ind w:left="1440" w:hanging="360"/>
      </w:pPr>
      <w:rPr>
        <w:rFonts w:hint="default" w:ascii="Times New Roman" w:hAnsi="Times New Roman" w:eastAsia="Times New Roman" w:cs="Times New Roman"/>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6435D3C"/>
    <w:multiLevelType w:val="multilevel"/>
    <w:tmpl w:val="36435D3C"/>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5BA28B7"/>
    <w:multiLevelType w:val="multilevel"/>
    <w:tmpl w:val="45BA28B7"/>
    <w:lvl w:ilvl="0" w:tentative="0">
      <w:start w:val="1"/>
      <w:numFmt w:val="decimal"/>
      <w:lvlText w:val="11.%1."/>
      <w:lvlJc w:val="left"/>
      <w:pPr>
        <w:ind w:left="1080" w:hanging="360"/>
      </w:pPr>
      <w:rPr>
        <w:rFonts w:hint="default"/>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5E700A2"/>
    <w:multiLevelType w:val="multilevel"/>
    <w:tmpl w:val="45E700A2"/>
    <w:lvl w:ilvl="0" w:tentative="0">
      <w:start w:val="1"/>
      <w:numFmt w:val="decimal"/>
      <w:lvlText w:val="8.2.%1."/>
      <w:lvlJc w:val="left"/>
      <w:pPr>
        <w:ind w:left="1080" w:hanging="360"/>
      </w:pPr>
      <w:rPr>
        <w:rFonts w:hint="default"/>
        <w:i w:val="0"/>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49440CA2"/>
    <w:multiLevelType w:val="multilevel"/>
    <w:tmpl w:val="49440CA2"/>
    <w:lvl w:ilvl="0" w:tentative="0">
      <w:start w:val="1"/>
      <w:numFmt w:val="decimal"/>
      <w:lvlText w:val="5.%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F497365"/>
    <w:multiLevelType w:val="multilevel"/>
    <w:tmpl w:val="4F497365"/>
    <w:lvl w:ilvl="0" w:tentative="0">
      <w:start w:val="1"/>
      <w:numFmt w:val="decimal"/>
      <w:lvlText w:val="8.%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5D92DA9"/>
    <w:multiLevelType w:val="multilevel"/>
    <w:tmpl w:val="55D92DA9"/>
    <w:lvl w:ilvl="0" w:tentative="0">
      <w:start w:val="1"/>
      <w:numFmt w:val="decimal"/>
      <w:lvlText w:val="6.%1."/>
      <w:lvlJc w:val="left"/>
      <w:pPr>
        <w:ind w:left="720" w:hanging="360"/>
      </w:pPr>
      <w:rPr>
        <w:rFonts w:hint="default"/>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73E3643"/>
    <w:multiLevelType w:val="multilevel"/>
    <w:tmpl w:val="573E3643"/>
    <w:lvl w:ilvl="0" w:tentative="0">
      <w:start w:val="1"/>
      <w:numFmt w:val="decimal"/>
      <w:lvlText w:val="8.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A216C59"/>
    <w:multiLevelType w:val="multilevel"/>
    <w:tmpl w:val="5A216C59"/>
    <w:lvl w:ilvl="0" w:tentative="0">
      <w:start w:val="1"/>
      <w:numFmt w:val="decimal"/>
      <w:lvlText w:val="4.%1."/>
      <w:lvlJc w:val="left"/>
      <w:pPr>
        <w:ind w:left="720" w:hanging="360"/>
      </w:pPr>
      <w:rPr>
        <w:rFonts w:hint="default"/>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E3A3233"/>
    <w:multiLevelType w:val="multilevel"/>
    <w:tmpl w:val="5E3A3233"/>
    <w:lvl w:ilvl="0" w:tentative="0">
      <w:start w:val="1"/>
      <w:numFmt w:val="decimal"/>
      <w:lvlText w:val="7.%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ED37CC3"/>
    <w:multiLevelType w:val="multilevel"/>
    <w:tmpl w:val="5ED37CC3"/>
    <w:lvl w:ilvl="0" w:tentative="0">
      <w:start w:val="1"/>
      <w:numFmt w:val="decimal"/>
      <w:lvlText w:val="9.%1."/>
      <w:lvlJc w:val="left"/>
      <w:pPr>
        <w:ind w:left="1080" w:hanging="360"/>
      </w:pPr>
      <w:rPr>
        <w:rFonts w:hint="default"/>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0360FE8"/>
    <w:multiLevelType w:val="multilevel"/>
    <w:tmpl w:val="70360FE8"/>
    <w:lvl w:ilvl="0" w:tentative="0">
      <w:start w:val="1"/>
      <w:numFmt w:val="decimal"/>
      <w:lvlText w:val="2.%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7B071CF6"/>
    <w:multiLevelType w:val="multilevel"/>
    <w:tmpl w:val="7B071CF6"/>
    <w:lvl w:ilvl="0" w:tentative="0">
      <w:start w:val="1"/>
      <w:numFmt w:val="decimal"/>
      <w:lvlText w:val="8.4.%1."/>
      <w:lvlJc w:val="left"/>
      <w:pPr>
        <w:ind w:left="1440" w:hanging="360"/>
      </w:pPr>
      <w:rPr>
        <w:rFonts w:hint="default"/>
        <w:i w:val="0"/>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0"/>
  </w:num>
  <w:num w:numId="2">
    <w:abstractNumId w:val="13"/>
  </w:num>
  <w:num w:numId="3">
    <w:abstractNumId w:val="2"/>
  </w:num>
  <w:num w:numId="4">
    <w:abstractNumId w:val="3"/>
  </w:num>
  <w:num w:numId="5">
    <w:abstractNumId w:val="10"/>
  </w:num>
  <w:num w:numId="6">
    <w:abstractNumId w:val="6"/>
  </w:num>
  <w:num w:numId="7">
    <w:abstractNumId w:val="8"/>
  </w:num>
  <w:num w:numId="8">
    <w:abstractNumId w:val="11"/>
  </w:num>
  <w:num w:numId="9">
    <w:abstractNumId w:val="7"/>
  </w:num>
  <w:num w:numId="10">
    <w:abstractNumId w:val="9"/>
  </w:num>
  <w:num w:numId="11">
    <w:abstractNumId w:val="1"/>
  </w:num>
  <w:num w:numId="12">
    <w:abstractNumId w:val="5"/>
  </w:num>
  <w:num w:numId="13">
    <w:abstractNumId w:val="14"/>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A3A"/>
    <w:rsid w:val="00006320"/>
    <w:rsid w:val="0001650E"/>
    <w:rsid w:val="00031B16"/>
    <w:rsid w:val="00032A76"/>
    <w:rsid w:val="000356E8"/>
    <w:rsid w:val="000805CB"/>
    <w:rsid w:val="000A2C9E"/>
    <w:rsid w:val="000A5DAC"/>
    <w:rsid w:val="000B7CC9"/>
    <w:rsid w:val="000D6B3B"/>
    <w:rsid w:val="000F167C"/>
    <w:rsid w:val="00102680"/>
    <w:rsid w:val="00107D24"/>
    <w:rsid w:val="00124FBC"/>
    <w:rsid w:val="00140AFA"/>
    <w:rsid w:val="00147481"/>
    <w:rsid w:val="00167BFC"/>
    <w:rsid w:val="001B29CB"/>
    <w:rsid w:val="001B4751"/>
    <w:rsid w:val="001C0BCC"/>
    <w:rsid w:val="001E02F2"/>
    <w:rsid w:val="001F60FE"/>
    <w:rsid w:val="002240F3"/>
    <w:rsid w:val="00237423"/>
    <w:rsid w:val="00237DFA"/>
    <w:rsid w:val="00240F02"/>
    <w:rsid w:val="00255F94"/>
    <w:rsid w:val="00294F5A"/>
    <w:rsid w:val="002B4A1D"/>
    <w:rsid w:val="002D4617"/>
    <w:rsid w:val="002F619F"/>
    <w:rsid w:val="0032529E"/>
    <w:rsid w:val="00331EDC"/>
    <w:rsid w:val="00352CE8"/>
    <w:rsid w:val="00363086"/>
    <w:rsid w:val="00364C8C"/>
    <w:rsid w:val="00370DF8"/>
    <w:rsid w:val="0037798B"/>
    <w:rsid w:val="003840F7"/>
    <w:rsid w:val="00391BAB"/>
    <w:rsid w:val="003B2901"/>
    <w:rsid w:val="003D2B37"/>
    <w:rsid w:val="0041201C"/>
    <w:rsid w:val="004127E0"/>
    <w:rsid w:val="00444573"/>
    <w:rsid w:val="004A08BB"/>
    <w:rsid w:val="004D1D12"/>
    <w:rsid w:val="004D5B48"/>
    <w:rsid w:val="004E6348"/>
    <w:rsid w:val="00500026"/>
    <w:rsid w:val="00506210"/>
    <w:rsid w:val="00516425"/>
    <w:rsid w:val="0055007E"/>
    <w:rsid w:val="00566507"/>
    <w:rsid w:val="0058059C"/>
    <w:rsid w:val="005A0AA6"/>
    <w:rsid w:val="005A27DA"/>
    <w:rsid w:val="005A2ADB"/>
    <w:rsid w:val="005A3187"/>
    <w:rsid w:val="005C1DEC"/>
    <w:rsid w:val="005D1612"/>
    <w:rsid w:val="005D24AE"/>
    <w:rsid w:val="005E77B4"/>
    <w:rsid w:val="0060638E"/>
    <w:rsid w:val="00606436"/>
    <w:rsid w:val="006756DC"/>
    <w:rsid w:val="006C3373"/>
    <w:rsid w:val="006E55B2"/>
    <w:rsid w:val="006F1E9D"/>
    <w:rsid w:val="00713C5D"/>
    <w:rsid w:val="007166E0"/>
    <w:rsid w:val="007523D4"/>
    <w:rsid w:val="00772E0F"/>
    <w:rsid w:val="00780359"/>
    <w:rsid w:val="00786A6E"/>
    <w:rsid w:val="0079186B"/>
    <w:rsid w:val="00791D28"/>
    <w:rsid w:val="007C30E5"/>
    <w:rsid w:val="007D67F1"/>
    <w:rsid w:val="007E4FC1"/>
    <w:rsid w:val="007F4670"/>
    <w:rsid w:val="008875BC"/>
    <w:rsid w:val="008876B2"/>
    <w:rsid w:val="00901A74"/>
    <w:rsid w:val="00903C6E"/>
    <w:rsid w:val="00911290"/>
    <w:rsid w:val="00913C38"/>
    <w:rsid w:val="00924312"/>
    <w:rsid w:val="00960A63"/>
    <w:rsid w:val="009B456C"/>
    <w:rsid w:val="009C000B"/>
    <w:rsid w:val="009C4026"/>
    <w:rsid w:val="009C4997"/>
    <w:rsid w:val="009E040C"/>
    <w:rsid w:val="009E220E"/>
    <w:rsid w:val="00A0550F"/>
    <w:rsid w:val="00A21323"/>
    <w:rsid w:val="00A33050"/>
    <w:rsid w:val="00A34CE4"/>
    <w:rsid w:val="00A44842"/>
    <w:rsid w:val="00A53DCA"/>
    <w:rsid w:val="00A57918"/>
    <w:rsid w:val="00A63F1F"/>
    <w:rsid w:val="00A63FF8"/>
    <w:rsid w:val="00A67EDC"/>
    <w:rsid w:val="00A81CC0"/>
    <w:rsid w:val="00A8414D"/>
    <w:rsid w:val="00A96E65"/>
    <w:rsid w:val="00AA01C0"/>
    <w:rsid w:val="00AA653B"/>
    <w:rsid w:val="00AA72B6"/>
    <w:rsid w:val="00AB3136"/>
    <w:rsid w:val="00AC39A1"/>
    <w:rsid w:val="00AC703F"/>
    <w:rsid w:val="00AD4A3A"/>
    <w:rsid w:val="00AD4F93"/>
    <w:rsid w:val="00AE1E97"/>
    <w:rsid w:val="00B01543"/>
    <w:rsid w:val="00B12095"/>
    <w:rsid w:val="00B21851"/>
    <w:rsid w:val="00B36181"/>
    <w:rsid w:val="00B667C2"/>
    <w:rsid w:val="00B7147F"/>
    <w:rsid w:val="00B93654"/>
    <w:rsid w:val="00B95A29"/>
    <w:rsid w:val="00BA7326"/>
    <w:rsid w:val="00BC5C1A"/>
    <w:rsid w:val="00BD2D72"/>
    <w:rsid w:val="00BD4E0F"/>
    <w:rsid w:val="00BF50C0"/>
    <w:rsid w:val="00C01C9C"/>
    <w:rsid w:val="00C5591C"/>
    <w:rsid w:val="00C61033"/>
    <w:rsid w:val="00C747AB"/>
    <w:rsid w:val="00C92AC3"/>
    <w:rsid w:val="00C96E45"/>
    <w:rsid w:val="00CE45EC"/>
    <w:rsid w:val="00CF4614"/>
    <w:rsid w:val="00D0462A"/>
    <w:rsid w:val="00D07CA5"/>
    <w:rsid w:val="00D15D92"/>
    <w:rsid w:val="00D41AE8"/>
    <w:rsid w:val="00D4494A"/>
    <w:rsid w:val="00D85BD3"/>
    <w:rsid w:val="00DA5D24"/>
    <w:rsid w:val="00DC0E98"/>
    <w:rsid w:val="00DE0322"/>
    <w:rsid w:val="00E30424"/>
    <w:rsid w:val="00E5768E"/>
    <w:rsid w:val="00E77A86"/>
    <w:rsid w:val="00EC5439"/>
    <w:rsid w:val="00ED5A36"/>
    <w:rsid w:val="00EF63F7"/>
    <w:rsid w:val="00F0261A"/>
    <w:rsid w:val="00F106F0"/>
    <w:rsid w:val="00F226CE"/>
    <w:rsid w:val="00F3535D"/>
    <w:rsid w:val="00F43290"/>
    <w:rsid w:val="00F44E22"/>
    <w:rsid w:val="00F62261"/>
    <w:rsid w:val="00F6372A"/>
    <w:rsid w:val="00F63DA6"/>
    <w:rsid w:val="00F641F3"/>
    <w:rsid w:val="00F721FF"/>
    <w:rsid w:val="00FB10B3"/>
    <w:rsid w:val="00FB77D9"/>
    <w:rsid w:val="00FE0554"/>
    <w:rsid w:val="00FE69AA"/>
    <w:rsid w:val="00FF1ECB"/>
    <w:rsid w:val="00FF3919"/>
    <w:rsid w:val="3455724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vi-VN" w:eastAsia="vi-V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vi-VN" w:eastAsia="vi-V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vi-VN" w:eastAsia="vi-V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vi-VN" w:eastAsia="vi-V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vi-VN" w:eastAsia="vi-V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vi-VN" w:eastAsia="vi-V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vi-VN" w:eastAsia="vi-V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1"/>
    <w:semiHidden/>
    <w:unhideWhenUsed/>
    <w:qFormat/>
    <w:uiPriority w:val="99"/>
    <w:rPr>
      <w:rFonts w:ascii="Segoe UI" w:hAnsi="Segoe UI" w:cs="Segoe UI"/>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29"/>
    <w:unhideWhenUsed/>
    <w:qFormat/>
    <w:uiPriority w:val="99"/>
    <w:rPr>
      <w:sz w:val="20"/>
      <w:szCs w:val="20"/>
    </w:rPr>
  </w:style>
  <w:style w:type="paragraph" w:styleId="13">
    <w:name w:val="annotation subject"/>
    <w:basedOn w:val="12"/>
    <w:next w:val="12"/>
    <w:link w:val="30"/>
    <w:semiHidden/>
    <w:unhideWhenUsed/>
    <w:qFormat/>
    <w:uiPriority w:val="99"/>
    <w:rPr>
      <w:b/>
      <w:bCs/>
    </w:rPr>
  </w:style>
  <w:style w:type="character" w:styleId="14">
    <w:name w:val="endnote reference"/>
    <w:semiHidden/>
    <w:unhideWhenUsed/>
    <w:qFormat/>
    <w:uiPriority w:val="99"/>
    <w:rPr>
      <w:vertAlign w:val="superscript"/>
    </w:rPr>
  </w:style>
  <w:style w:type="paragraph" w:styleId="15">
    <w:name w:val="endnote text"/>
    <w:link w:val="27"/>
    <w:semiHidden/>
    <w:unhideWhenUsed/>
    <w:qFormat/>
    <w:uiPriority w:val="99"/>
    <w:rPr>
      <w:rFonts w:ascii="Times New Roman" w:hAnsi="Times New Roman" w:eastAsia="Times New Roman" w:cs="Times New Roman"/>
      <w:sz w:val="20"/>
      <w:szCs w:val="20"/>
      <w:lang w:val="vi-VN" w:eastAsia="vi-VN" w:bidi="ar-SA"/>
    </w:rPr>
  </w:style>
  <w:style w:type="paragraph" w:styleId="16">
    <w:name w:val="footer"/>
    <w:basedOn w:val="1"/>
    <w:link w:val="33"/>
    <w:unhideWhenUsed/>
    <w:qFormat/>
    <w:uiPriority w:val="99"/>
    <w:pPr>
      <w:tabs>
        <w:tab w:val="center" w:pos="4680"/>
        <w:tab w:val="right" w:pos="9360"/>
      </w:tabs>
    </w:pPr>
  </w:style>
  <w:style w:type="character" w:styleId="17">
    <w:name w:val="footnote reference"/>
    <w:semiHidden/>
    <w:unhideWhenUsed/>
    <w:qFormat/>
    <w:uiPriority w:val="99"/>
    <w:rPr>
      <w:vertAlign w:val="superscript"/>
    </w:rPr>
  </w:style>
  <w:style w:type="paragraph" w:styleId="18">
    <w:name w:val="footnote text"/>
    <w:link w:val="26"/>
    <w:semiHidden/>
    <w:unhideWhenUsed/>
    <w:qFormat/>
    <w:uiPriority w:val="99"/>
    <w:rPr>
      <w:rFonts w:ascii="Times New Roman" w:hAnsi="Times New Roman" w:eastAsia="Times New Roman" w:cs="Times New Roman"/>
      <w:sz w:val="20"/>
      <w:szCs w:val="20"/>
      <w:lang w:val="vi-VN" w:eastAsia="vi-VN" w:bidi="ar-SA"/>
    </w:rPr>
  </w:style>
  <w:style w:type="paragraph" w:styleId="19">
    <w:name w:val="header"/>
    <w:basedOn w:val="1"/>
    <w:link w:val="32"/>
    <w:unhideWhenUsed/>
    <w:qFormat/>
    <w:uiPriority w:val="99"/>
    <w:pPr>
      <w:tabs>
        <w:tab w:val="center" w:pos="4680"/>
        <w:tab w:val="right" w:pos="9360"/>
      </w:tabs>
    </w:pPr>
  </w:style>
  <w:style w:type="character" w:styleId="20">
    <w:name w:val="Hyperlink"/>
    <w:unhideWhenUsed/>
    <w:qFormat/>
    <w:uiPriority w:val="99"/>
    <w:rPr>
      <w:color w:val="0563C1"/>
      <w:u w:val="single"/>
    </w:rPr>
  </w:style>
  <w:style w:type="paragraph" w:styleId="21">
    <w:name w:val="Normal (Web)"/>
    <w:basedOn w:val="1"/>
    <w:semiHidden/>
    <w:unhideWhenUsed/>
    <w:qFormat/>
    <w:uiPriority w:val="99"/>
  </w:style>
  <w:style w:type="character" w:styleId="22">
    <w:name w:val="Strong"/>
    <w:basedOn w:val="8"/>
    <w:qFormat/>
    <w:uiPriority w:val="22"/>
    <w:rPr>
      <w:b/>
      <w:bCs/>
    </w:rPr>
  </w:style>
  <w:style w:type="paragraph" w:styleId="23">
    <w:name w:val="Title"/>
    <w:qFormat/>
    <w:uiPriority w:val="10"/>
    <w:rPr>
      <w:rFonts w:ascii="Times New Roman" w:hAnsi="Times New Roman" w:eastAsia="Times New Roman" w:cs="Times New Roman"/>
      <w:sz w:val="56"/>
      <w:szCs w:val="56"/>
      <w:lang w:val="vi-VN" w:eastAsia="vi-VN" w:bidi="ar-SA"/>
    </w:rPr>
  </w:style>
  <w:style w:type="paragraph" w:customStyle="1" w:styleId="24">
    <w:name w:val="Strong1"/>
    <w:qFormat/>
    <w:uiPriority w:val="0"/>
    <w:rPr>
      <w:rFonts w:ascii="Times New Roman" w:hAnsi="Times New Roman" w:eastAsia="Times New Roman" w:cs="Times New Roman"/>
      <w:b/>
      <w:bCs/>
      <w:sz w:val="24"/>
      <w:szCs w:val="24"/>
      <w:lang w:val="vi-VN" w:eastAsia="vi-VN" w:bidi="ar-SA"/>
    </w:rPr>
  </w:style>
  <w:style w:type="paragraph" w:styleId="25">
    <w:name w:val="List Paragraph"/>
    <w:qFormat/>
    <w:uiPriority w:val="0"/>
    <w:rPr>
      <w:rFonts w:ascii="Times New Roman" w:hAnsi="Times New Roman" w:eastAsia="Times New Roman" w:cs="Times New Roman"/>
      <w:sz w:val="24"/>
      <w:szCs w:val="24"/>
      <w:lang w:val="vi-VN" w:eastAsia="vi-VN" w:bidi="ar-SA"/>
    </w:rPr>
  </w:style>
  <w:style w:type="character" w:customStyle="1" w:styleId="26">
    <w:name w:val="Footnote Text Char"/>
    <w:link w:val="18"/>
    <w:semiHidden/>
    <w:unhideWhenUsed/>
    <w:qFormat/>
    <w:uiPriority w:val="99"/>
    <w:rPr>
      <w:sz w:val="20"/>
      <w:szCs w:val="20"/>
    </w:rPr>
  </w:style>
  <w:style w:type="character" w:customStyle="1" w:styleId="27">
    <w:name w:val="Endnote Text Char"/>
    <w:link w:val="15"/>
    <w:semiHidden/>
    <w:unhideWhenUsed/>
    <w:qFormat/>
    <w:uiPriority w:val="99"/>
    <w:rPr>
      <w:sz w:val="20"/>
      <w:szCs w:val="20"/>
    </w:rPr>
  </w:style>
  <w:style w:type="paragraph" w:customStyle="1" w:styleId="28">
    <w:name w:val="Revision"/>
    <w:hidden/>
    <w:semiHidden/>
    <w:uiPriority w:val="99"/>
    <w:rPr>
      <w:rFonts w:ascii="Times New Roman" w:hAnsi="Times New Roman" w:eastAsia="Times New Roman" w:cs="Times New Roman"/>
      <w:sz w:val="24"/>
      <w:szCs w:val="24"/>
      <w:lang w:val="vi-VN" w:eastAsia="vi-VN" w:bidi="ar-SA"/>
    </w:rPr>
  </w:style>
  <w:style w:type="character" w:customStyle="1" w:styleId="29">
    <w:name w:val="Comment Text Char"/>
    <w:basedOn w:val="8"/>
    <w:link w:val="12"/>
    <w:qFormat/>
    <w:uiPriority w:val="99"/>
    <w:rPr>
      <w:sz w:val="20"/>
      <w:szCs w:val="20"/>
    </w:rPr>
  </w:style>
  <w:style w:type="character" w:customStyle="1" w:styleId="30">
    <w:name w:val="Comment Subject Char"/>
    <w:basedOn w:val="29"/>
    <w:link w:val="13"/>
    <w:semiHidden/>
    <w:qFormat/>
    <w:uiPriority w:val="99"/>
    <w:rPr>
      <w:b/>
      <w:bCs/>
      <w:sz w:val="20"/>
      <w:szCs w:val="20"/>
    </w:rPr>
  </w:style>
  <w:style w:type="character" w:customStyle="1" w:styleId="31">
    <w:name w:val="Balloon Text Char"/>
    <w:basedOn w:val="8"/>
    <w:link w:val="10"/>
    <w:semiHidden/>
    <w:qFormat/>
    <w:uiPriority w:val="99"/>
    <w:rPr>
      <w:rFonts w:ascii="Segoe UI" w:hAnsi="Segoe UI" w:cs="Segoe UI"/>
      <w:sz w:val="18"/>
      <w:szCs w:val="18"/>
    </w:rPr>
  </w:style>
  <w:style w:type="character" w:customStyle="1" w:styleId="32">
    <w:name w:val="Header Char"/>
    <w:basedOn w:val="8"/>
    <w:link w:val="19"/>
    <w:qFormat/>
    <w:uiPriority w:val="99"/>
  </w:style>
  <w:style w:type="character" w:customStyle="1" w:styleId="33">
    <w:name w:val="Footer Char"/>
    <w:basedOn w:val="8"/>
    <w:link w:val="16"/>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668A4-429E-4778-B75D-E6F34914DD8E}">
  <ds:schemaRefs/>
</ds:datastoreItem>
</file>

<file path=docProps/app.xml><?xml version="1.0" encoding="utf-8"?>
<Properties xmlns="http://schemas.openxmlformats.org/officeDocument/2006/extended-properties" xmlns:vt="http://schemas.openxmlformats.org/officeDocument/2006/docPropsVTypes">
  <Template>Normal</Template>
  <Pages>5</Pages>
  <Words>1541</Words>
  <Characters>8789</Characters>
  <Lines>73</Lines>
  <Paragraphs>20</Paragraphs>
  <TotalTime>69</TotalTime>
  <ScaleCrop>false</ScaleCrop>
  <LinksUpToDate>false</LinksUpToDate>
  <CharactersWithSpaces>10310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2026-08-17T03:57:00Z</dcterms:created>
  <dc:creator>Un-named</dc:creator>
  <cp:lastModifiedBy>COM</cp:lastModifiedBy>
  <dcterms:modified xsi:type="dcterms:W3CDTF">2026-08-24T15:00:48Z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B69BB77C90074DF997C21FABD0758532_12</vt:lpwstr>
  </property>
</Properties>
</file>