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1"/>
        <w:pBdr/>
        <w:spacing/>
        <w:ind/>
        <w:jc w:val="center"/>
        <w:rPr>
          <w:highlight w:val="none"/>
        </w:rPr>
      </w:pPr>
      <w:r>
        <w:t xml:space="preserve">Beyond Complexity: Effective Brain Tumor Prediction with Lightweight Machine Learning Models</w:t>
      </w:r>
      <w:r>
        <w:rPr>
          <w:highlight w:val="none"/>
        </w:rPr>
      </w:r>
      <w:r>
        <w:rPr>
          <w:highlight w:val="none"/>
        </w:rPr>
      </w:r>
    </w:p>
    <w:p>
      <w:pPr>
        <w:pBdr/>
        <w:spacing/>
        <w:ind/>
        <w:rPr/>
      </w:pPr>
      <w:r/>
      <w:r/>
    </w:p>
    <w:p>
      <w:pPr>
        <w:pBdr/>
        <w:spacing/>
        <w:ind/>
        <w:jc w:val="center"/>
        <w:rPr>
          <w:highlight w:val="none"/>
          <w:vertAlign w:val="superscript"/>
        </w:rPr>
      </w:pPr>
      <w:r>
        <w:t xml:space="preserve">Ameya Rao</w:t>
      </w:r>
      <w:r>
        <w:rPr>
          <w:vertAlign w:val="superscript"/>
        </w:rPr>
        <w:t xml:space="preserve">1</w:t>
      </w:r>
      <w:r>
        <w:t xml:space="preserve"> and Venkatesh Uddameri</w:t>
      </w:r>
      <w:r>
        <w:rPr>
          <w:vertAlign w:val="superscript"/>
        </w:rPr>
        <w:t xml:space="preserve">2</w:t>
      </w:r>
      <w:r>
        <w:rPr>
          <w:highlight w:val="none"/>
          <w:vertAlign w:val="superscript"/>
        </w:rPr>
      </w:r>
      <w:r>
        <w:rPr>
          <w:highlight w:val="none"/>
          <w:vertAlign w:val="superscript"/>
        </w:rPr>
      </w:r>
    </w:p>
    <w:p>
      <w:pPr>
        <w:pBdr/>
        <w:spacing/>
        <w:ind/>
        <w:jc w:val="center"/>
        <w:rPr>
          <w:highlight w:val="none"/>
        </w:rPr>
      </w:pPr>
      <w:r>
        <w:rPr>
          <w:highlight w:val="none"/>
        </w:rPr>
        <w:t xml:space="preserve">XXXX High School, </w:t>
      </w:r>
      <w:r>
        <w:rPr>
          <w:highlight w:val="none"/>
        </w:rPr>
      </w:r>
      <w:r>
        <w:rPr>
          <w:highlight w:val="none"/>
        </w:rPr>
      </w:r>
    </w:p>
    <w:p>
      <w:pPr>
        <w:pBdr/>
        <w:spacing/>
        <w:ind/>
        <w:jc w:val="center"/>
        <w:rPr>
          <w:highlight w:val="none"/>
        </w:rPr>
      </w:pPr>
      <w:r>
        <w:rPr>
          <w:highlight w:val="none"/>
        </w:rPr>
        <w:t xml:space="preserve">Lamar University, Beaumont, TX</w:t>
      </w:r>
      <w:r>
        <w:rPr>
          <w:highlight w:val="none"/>
        </w:rPr>
      </w:r>
      <w:r>
        <w:rPr>
          <w:highlight w:val="none"/>
        </w:rPr>
      </w:r>
    </w:p>
    <w:p>
      <w:pPr>
        <w:pBdr/>
        <w:spacing/>
        <w:ind/>
        <w:jc w:val="both"/>
        <w:rPr/>
      </w:pPr>
      <w:r/>
      <w:r/>
    </w:p>
    <w:p>
      <w:pPr>
        <w:pStyle w:val="833"/>
        <w:pBdr/>
        <w:spacing/>
        <w:ind/>
        <w:rPr/>
      </w:pPr>
      <w:r>
        <w:rPr>
          <w:highlight w:val="none"/>
        </w:rPr>
        <w:t xml:space="preserve">Introduction</w:t>
      </w:r>
      <w:r/>
    </w:p>
    <w:p>
      <w:pPr>
        <w:pBdr/>
        <w:spacing/>
        <w:ind/>
        <w:jc w:val="both"/>
        <w:rPr/>
      </w:pPr>
      <w:r>
        <w:rPr>
          <w:highlight w:val="none"/>
        </w:rPr>
        <w:t xml:space="preserve">Brain t</w:t>
      </w:r>
      <w:r>
        <w:t xml:space="preserve">umors are abnormal growth of cells in the brain.  These are primarily caused by genetic mutations that disrupt normal growth and division.  The activation of oncogenes or t</w:t>
      </w:r>
      <w:r>
        <w:t xml:space="preserve">he deactivation of tumor suppressor genes, can lead to uncontrolled multiplication of tumor cells.  Tumors can be broadly classified as being malignant or benign.  Malignant tumors spread rapidly, while benign tumors are slow growing and less likely to spr</w:t>
      </w:r>
      <w:r>
        <w:t xml:space="preserve">ead.  Brain tumors can originate in the brain or nearby tissues (e.g., meninges and the pituitary glans) or spread to the brain from other parts of the body.  Tumors originating in the brain are referred to as the primary tumors, while those originating el</w:t>
      </w:r>
      <w:r>
        <w:t xml:space="preserve">sewhere and spreading to the brain are called metastatic tumors.   According to the World Health Organization (WHO) approximately 321, 731 new cases of brain and central nervous system (CNS) tumors are diagnosed globally each year (Filho et al., 2025).    </w:t>
      </w:r>
      <w:r>
        <w:rPr>
          <w:highlight w:val="none"/>
        </w:rPr>
      </w:r>
      <w:r/>
    </w:p>
    <w:p>
      <w:pPr>
        <w:pBdr/>
        <w:spacing/>
        <w:ind/>
        <w:jc w:val="both"/>
        <w:rPr>
          <w:highlight w:val="none"/>
        </w:rPr>
      </w:pPr>
      <w:r>
        <w:t xml:space="preserve">Brain is one of the, if not the, most important organ of the human body that controls the function of other organs.  Therefore, tumors in the brain can significantly reduce the quality of life.  As br</w:t>
      </w:r>
      <w:r>
        <w:t xml:space="preserve">ain is comprised of soft tissues, even benign tumors can impact the functioning of organs in humans and lead to other health complications.  Therefore, early detection of brain tumors is important to treat this condition  (Perkins and Liu, 2016).  A biopsy</w:t>
      </w:r>
      <w:r>
        <w:t xml:space="preserve"> provides the most direct evidence of tumor in the human body.  However, this direct, invasive approach, is not suitable for detecting brain tumors.  Therefore, indirect methods, especially neuroimaging are widely used for safer diagnosis of brain tumors (</w:t>
      </w:r>
      <w:r>
        <w:rPr>
          <w:rFonts w:ascii="Times New Roman" w:hAnsi="Times New Roman" w:eastAsia="Times New Roman" w:cs="Times New Roman"/>
          <w:color w:val="000000"/>
          <w:sz w:val="24"/>
        </w:rPr>
        <w:t xml:space="preserve">Delaidelli, and Moiraghi, 2024).  </w:t>
      </w:r>
      <w:r>
        <w:rPr>
          <w:highlight w:val="none"/>
        </w:rPr>
      </w:r>
      <w:r>
        <w:rPr>
          <w:highlight w:val="none"/>
        </w:rPr>
      </w:r>
    </w:p>
    <w:p>
      <w:pPr>
        <w:pBdr/>
        <w:spacing/>
        <w:ind/>
        <w:jc w:val="both"/>
        <w:rPr/>
      </w:pPr>
      <w:r>
        <w:t xml:space="preserve">Magnetic Resonance Imaging (MRI) is a commonly used technique for diagnosis of brain tumors.  </w:t>
      </w:r>
      <w:r>
        <w:t xml:space="preserve">At a basic level, the MRI instrument uses strong magnetic fields (1.5 - 3 Tesla) to align the protons (H</w:t>
      </w:r>
      <w:r>
        <w:rPr>
          <w:vertAlign w:val="superscript"/>
        </w:rPr>
        <w:t xml:space="preserve">+</w:t>
      </w:r>
      <w:r>
        <w:t xml:space="preserve"> ions) of the water molecules in the body.  A brief radio frequency (RF) pulse is applied to disrupt the aligned protons from their equilibrium to an excited state.  When the RF pulse is turned off, the protons relax back to their original alignment.  Duri</w:t>
      </w:r>
      <w:r>
        <w:t xml:space="preserve">ng this process the protons emit radio waves.  The T1 (longitudinal relaxation) measures the time it takes for the protons to realign with the magnetic field and T2 (transvere relaxation) measures the time it takes for the protons to lose phase coherence. </w:t>
      </w:r>
      <w:r>
        <w:t xml:space="preserve"> Different tissues have different T1 and T2 values which depict the contrast between normal cells and tumors.  Advanced digital signal processing techniques such as the Fourier transform are used to create cross-sectional images (Weishaupt et al., 2006).  </w:t>
      </w:r>
      <w:r/>
    </w:p>
    <w:p>
      <w:pPr>
        <w:pBdr/>
        <w:spacing/>
        <w:ind/>
        <w:jc w:val="both"/>
        <w:rPr/>
      </w:pPr>
      <w:r>
        <w:t xml:space="preserve">While MRI images provide information useful </w:t>
      </w:r>
      <w:r>
        <w:t xml:space="preserve">to detect brain tumors, they require a skilled radiologist to identify the presence of tumor.   Radiologists may interpret the same scan differently based on their sub-specialty.  In addition, some tumors may be subtle and resemble normal anatomical varian</w:t>
      </w:r>
      <w:r>
        <w:t xml:space="preserve">ts (false negatives).  In a similar vein, a benign cyst may be mistaken for a tumor (false positive) leading to incorrect diagnosis leading to inappropriate treatment, delayed care and lead to further unwarranted testing that increases health care costs.  </w:t>
      </w:r>
      <w:r/>
    </w:p>
    <w:p>
      <w:pPr>
        <w:pBdr/>
        <w:spacing/>
        <w:ind/>
        <w:jc w:val="both"/>
        <w:rPr/>
      </w:pPr>
      <w:r>
        <w:t xml:space="preserve">Automated detection of brain tumors using MRI reduces subjectivity associated with manual inspection and diagnosis.  Therefore, there is a growing interest in developing tools, techniqu</w:t>
      </w:r>
      <w:r>
        <w:t xml:space="preserve">es and algorithms aimed at machine-based interpretation and classification of MRI data.  In particular, there is a growing interest in using machine learning (ML), especially deep learning algorithms for detection and classification of brain tumors (Kang e</w:t>
      </w:r>
      <w:r>
        <w:t xml:space="preserve">t al., 2021; Saeedi et al., 2023; Anantharajan et al., 2024;  Jader et al., 2024;  Dofner et al., 2025).  The accuracy of the tumor classification ranges from 88% - 99%  in studies reported in the literature (Saeedi et al., 2023; Jader et al., 2024).      </w:t>
      </w:r>
      <w:r/>
    </w:p>
    <w:p>
      <w:pPr>
        <w:pBdr/>
        <w:spacing/>
        <w:ind/>
        <w:jc w:val="both"/>
        <w:rPr/>
      </w:pPr>
      <w:r>
        <w:t xml:space="preserve">The propensity to use latest state-of-the-art machine learning methods fo</w:t>
      </w:r>
      <w:r>
        <w:t xml:space="preserve">r tumor detection is understandable, especially if such models can provide high degree of predictive accuracy.  However, the application of deep learning approaches for brain tumor detection is not without challenges, which include, but are not limited to:</w:t>
      </w:r>
      <w:r/>
    </w:p>
    <w:p>
      <w:pPr>
        <w:pStyle w:val="892"/>
        <w:numPr>
          <w:ilvl w:val="0"/>
          <w:numId w:val="1"/>
        </w:numPr>
        <w:pBdr/>
        <w:spacing/>
        <w:ind/>
        <w:jc w:val="both"/>
        <w:rPr/>
      </w:pPr>
      <w:r>
        <w:t xml:space="preserve"> Data availability – Deep learning models have a large number of unknown model parameters, often in the range of thousands to tens of thousands</w:t>
      </w:r>
      <w:r>
        <w:t xml:space="preserve">.  MRI datasets tend to be small, in the order of hundreds to several thousands.  Therefore, the risk of overfitting of deep models is high.  Overfitting implies the model learns the noise in the training data and is unable to generalize to new situations.</w:t>
      </w:r>
      <w:r/>
    </w:p>
    <w:p>
      <w:pPr>
        <w:pStyle w:val="892"/>
        <w:numPr>
          <w:ilvl w:val="0"/>
          <w:numId w:val="1"/>
        </w:numPr>
        <w:pBdr/>
        <w:spacing/>
        <w:ind/>
        <w:jc w:val="both"/>
        <w:rPr/>
      </w:pPr>
      <w:r>
        <w:t xml:space="preserve">Deep models inc</w:t>
      </w:r>
      <w:r>
        <w:t xml:space="preserve">lude many operators that run in both series and parallel within their architecture.  These models are therefore difficult to explain.  The lack of explainablity may limit their applications with clinicians who prefer to know the reasons behind predictions.</w:t>
      </w:r>
      <w:r/>
    </w:p>
    <w:p>
      <w:pPr>
        <w:pStyle w:val="892"/>
        <w:numPr>
          <w:ilvl w:val="0"/>
          <w:numId w:val="1"/>
        </w:numPr>
        <w:pBdr/>
        <w:spacing/>
        <w:ind/>
        <w:jc w:val="both"/>
        <w:rPr/>
      </w:pPr>
      <w:r>
        <w:t xml:space="preserve">Training deep learning mo</w:t>
      </w:r>
      <w:r>
        <w:t xml:space="preserve">dels requires specialized computational hardware such as GPUs and TPUs.  Hospitals may not have access to such hardware, especially in developing and under-developed nations where automated tumor detection is most helpful due to lack of well trained staff.</w:t>
      </w:r>
      <w:r/>
    </w:p>
    <w:p>
      <w:pPr>
        <w:pStyle w:val="892"/>
        <w:numPr>
          <w:ilvl w:val="0"/>
          <w:numId w:val="1"/>
        </w:numPr>
        <w:pBdr/>
        <w:spacing/>
        <w:ind/>
        <w:jc w:val="both"/>
        <w:rPr/>
      </w:pPr>
      <w:r>
        <w:t xml:space="preserve">Simpler models often require explicit feature extraction.</w:t>
      </w:r>
      <w:r>
        <w:t xml:space="preserve">  This step helps inclusion of domain knowledge from radiology and also offers other avenues of learning and building medical intuition.  Deep networks often embed feature engineering into the modeling scheme which reduces ancillary learning opportunities.</w:t>
      </w:r>
      <w:r/>
    </w:p>
    <w:p>
      <w:pPr>
        <w:pStyle w:val="892"/>
        <w:numPr>
          <w:ilvl w:val="0"/>
          <w:numId w:val="1"/>
        </w:numPr>
        <w:pBdr/>
        <w:spacing/>
        <w:ind/>
        <w:jc w:val="both"/>
        <w:rPr/>
      </w:pPr>
      <w:r>
        <w:t xml:space="preserve">Simpler parameters have fewer hyper-parame</w:t>
      </w:r>
      <w:r>
        <w:t xml:space="preserve">ters so one can perform quick calibration and error analysis and use cross-validation schemes to obtain optimal hyper-parameters.  Deep models have significantly higher number of hyper-parameters which makes their optimization difficult and time-consuming.</w:t>
      </w:r>
      <w:r/>
    </w:p>
    <w:p>
      <w:pPr>
        <w:pBdr/>
        <w:spacing/>
        <w:ind w:firstLine="0" w:left="0"/>
        <w:jc w:val="both"/>
        <w:rPr>
          <w:highlight w:val="none"/>
        </w:rPr>
      </w:pPr>
      <w:r>
        <w:t xml:space="preserve">Also, simpler models provide a baseline performance against which more complex deep learning models can be evaluated.  If the predic</w:t>
      </w:r>
      <w:r>
        <w:t xml:space="preserve">tive accuracy of a deeper model increases only marginally, it is imperative to ask – whether the added cost, opacity and complexity justified?  In medical machine learning applications, the principle of parsimony reminds us that when simpler models perform</w:t>
      </w:r>
      <w:r>
        <w:t xml:space="preserve"> nearly as well as deep learning counterparts, they are not just ‘good enough’  – they are likely the smarter, safer and more responsible choice.  Building on this premise, the present study seeks to evaluate the suitability of simpler and traditional mach</w:t>
      </w:r>
      <w:r>
        <w:t xml:space="preserve">ine learning models for detecting brain tumor from MRI images.  More specifically, four simple yet established machine learning methods - 1) Logistic Regression (LR); 2) Naive Bayes Classifier (NBC); 3) Extreme Learning Machine (ELM) and 4) Support Vector </w:t>
      </w:r>
      <w:r>
        <w:t xml:space="preserve">Machines (SVM) are used to predict the likely presence of a brain tumor from an MRI dataset.  In addition to the evaluation of their overall predictive ability, the study also seeks to understand which types of tumors are detected better by these models.  </w:t>
      </w:r>
      <w:r>
        <w:rPr>
          <w:highlight w:val="none"/>
        </w:rPr>
      </w:r>
      <w:r>
        <w:rPr>
          <w:highlight w:val="none"/>
        </w:rPr>
      </w:r>
    </w:p>
    <w:p>
      <w:pPr>
        <w:pBdr/>
        <w:spacing/>
        <w:ind w:firstLine="0" w:left="0"/>
        <w:jc w:val="both"/>
        <w:rPr>
          <w:highlight w:val="none"/>
        </w:rPr>
      </w:pPr>
      <w:r>
        <w:rPr>
          <w:highlight w:val="none"/>
        </w:rPr>
        <w:t xml:space="preserve">The present study therefore makes three significa</w:t>
      </w:r>
      <w:r>
        <w:rPr>
          <w:highlight w:val="none"/>
        </w:rPr>
        <w:t xml:space="preserve">nt contributions - 1) It tests the hypothesis that simpler machine learning models might be sufficient for initial detection of brain tumor. 2) It provides an important benchmark to compare the predictive improvements to be gained from complex machine lear</w:t>
      </w:r>
      <w:r>
        <w:rPr>
          <w:highlight w:val="none"/>
        </w:rPr>
        <w:t xml:space="preserve">ning algorithms, 3) it provides insights related to which type of tumors are likely to go undetected (or poorly detected) using simpler ML tools and therefore provides guidance to clinicians on proper interpretation of the results in real-world settings.  </w:t>
      </w:r>
      <w:r>
        <w:rPr>
          <w:highlight w:val="none"/>
        </w:rPr>
      </w:r>
      <w:r>
        <w:rPr>
          <w:highlight w:val="none"/>
        </w:rPr>
      </w:r>
    </w:p>
    <w:p>
      <w:pPr>
        <w:pStyle w:val="833"/>
        <w:pBdr/>
        <w:spacing/>
        <w:ind/>
        <w:rPr>
          <w:highlight w:val="none"/>
        </w:rPr>
      </w:pPr>
      <w:r>
        <w:rPr>
          <w:highlight w:val="none"/>
        </w:rPr>
        <w:t xml:space="preserve">Methodology</w:t>
      </w:r>
      <w:r>
        <w:rPr>
          <w:highlight w:val="none"/>
        </w:rPr>
      </w:r>
      <w:r>
        <w:rPr>
          <w:highlight w:val="none"/>
        </w:rPr>
      </w:r>
    </w:p>
    <w:p>
      <w:pPr>
        <w:pBdr/>
        <w:spacing/>
        <w:ind w:firstLine="0" w:left="0"/>
        <w:jc w:val="center"/>
        <w:rPr/>
      </w:pPr>
      <w:r/>
      <w:r/>
    </w:p>
    <w:p>
      <w:pPr>
        <w:pBdr/>
        <w:spacing/>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5943600" cy="243323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6866" name=""/>
                        <pic:cNvPicPr>
                          <a:picLocks noChangeAspect="1"/>
                        </pic:cNvPicPr>
                        <pic:nvPr/>
                      </pic:nvPicPr>
                      <pic:blipFill>
                        <a:blip r:embed="rId9"/>
                        <a:stretch/>
                      </pic:blipFill>
                      <pic:spPr bwMode="auto">
                        <a:xfrm>
                          <a:off x="0" y="0"/>
                          <a:ext cx="5943599" cy="2433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1.5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Bdr/>
        <w:spacing/>
        <w:ind w:firstLine="0" w:left="0"/>
        <w:jc w:val="center"/>
        <w:rPr>
          <w:highlight w:val="none"/>
        </w:rPr>
      </w:pPr>
      <w:r>
        <w:rPr>
          <w:highlight w:val="none"/>
        </w:rPr>
        <w:t xml:space="preserve">Figure 1: Workflow of the Methodology</w:t>
      </w:r>
      <w:r>
        <w:rPr>
          <w:highlight w:val="none"/>
        </w:rPr>
      </w:r>
      <w:r>
        <w:rPr>
          <w:highlight w:val="none"/>
        </w:rPr>
      </w:r>
    </w:p>
    <w:p>
      <w:pPr>
        <w:pBdr/>
        <w:spacing/>
        <w:ind w:firstLine="0" w:left="0"/>
        <w:jc w:val="both"/>
        <w:rPr/>
      </w:pPr>
      <w:r/>
      <w:r/>
    </w:p>
    <w:p>
      <w:pPr>
        <w:pStyle w:val="835"/>
        <w:pBdr/>
        <w:spacing/>
        <w:ind/>
        <w:rPr>
          <w14:ligatures w14:val="none"/>
        </w:rPr>
      </w:pPr>
      <w:r>
        <w:t xml:space="preserve">Data Compilation and Pre-Processing</w:t>
      </w:r>
      <w:r>
        <w:rPr>
          <w14:ligatures w14:val="none"/>
        </w:rPr>
      </w:r>
      <w:r>
        <w:rPr>
          <w14:ligatures w14:val="none"/>
        </w:rPr>
      </w:r>
    </w:p>
    <w:p>
      <w:pPr>
        <w:pBdr/>
        <w:spacing/>
        <w:ind w:firstLine="0" w:left="0"/>
        <w:jc w:val="both"/>
        <w:rPr>
          <w:highlight w:val="none"/>
        </w:rPr>
      </w:pPr>
      <w:r>
        <w:rPr>
          <w:highlight w:val="none"/>
        </w:rPr>
        <w:t xml:space="preserve">Figure 1 presents the overall workflow of the study.  The dataset used in the study was  compiled and described by Nickparvar (2021) and downloaded from the Kaggle Data reposit</w:t>
      </w:r>
      <w:r>
        <w:rPr>
          <w:highlight w:val="none"/>
        </w:rPr>
        <w:t xml:space="preserve">ory.  This dataset comprises of  7023  brain MRI images that have been classified into 4 classes – Glioma, meningioma, no tumor and pitutiary tumor.  This dataset has been widely used in brain tumor prediction studies using deep learning methods (</w:t>
      </w:r>
      <w:r>
        <w:t xml:space="preserve">Rayes and Sanchez, 2024, Özkaraca </w:t>
      </w:r>
      <w:r>
        <w:rPr>
          <w:highlight w:val="none"/>
        </w:rPr>
        <w:t xml:space="preserve">et al., 2023; Amran et al., 2022) and therefore was selected here.  As the focus of this study was on the detection of tumors regardless of their malignancy, the </w:t>
      </w:r>
      <w:r>
        <w:rPr>
          <w:highlight w:val="none"/>
        </w:rPr>
        <w:t xml:space="preserve">labels were reclassified as tumor and no-tumor.  In all there were 2000 MRIs with no-tumor  and 5023 MRIs with tumor.   The imbalance in the dataset points to the bias in retaining MRI images that have tumors and given that MRI in many instances is ordered</w:t>
      </w:r>
      <w:r>
        <w:rPr>
          <w:highlight w:val="none"/>
        </w:rPr>
        <w:t xml:space="preserve"> based on other symptoms that indicate the likelihood of their presence.  Binary classifiers often perform well when the dataset is balanced.  The ability of the selected classifiers  to deal with this imbalance is another important aspect of this study.  </w:t>
      </w:r>
      <w:r>
        <w:rPr>
          <w:highlight w:val="none"/>
        </w:rPr>
        <w:t xml:space="preserve">  </w:t>
      </w:r>
      <w:r>
        <w:rPr>
          <w:highlight w:val="none"/>
        </w:rPr>
      </w:r>
      <w:r>
        <w:rPr>
          <w:highlight w:val="none"/>
        </w:rPr>
      </w:r>
    </w:p>
    <w:p>
      <w:pPr>
        <w:pBdr/>
        <w:spacing/>
        <w:ind w:firstLine="0" w:left="0"/>
        <w:jc w:val="both"/>
        <w:rPr>
          <w:highlight w:val="none"/>
        </w:rPr>
      </w:pPr>
      <w:r>
        <w:rPr>
          <w:highlight w:val="none"/>
        </w:rPr>
        <w:t xml:space="preserve">The data pre-processing steps included resizing the images and resampling them all to 128 x 128 pixel resolution.  Most clinical MRI scans are inherently grayscale where each pixel represents signal intensity from tissue relaxation propert</w:t>
      </w:r>
      <w:r>
        <w:rPr>
          <w:highlight w:val="none"/>
        </w:rPr>
        <w:t xml:space="preserve">ies (T1, T2, etc.).  Therefore, color MRI images are simply false color composites obtained by mapping grayscale sequences to RGB channels.  As such, color images do not add true spectral information and therefore all images were converted to grayscale for</w:t>
      </w:r>
      <w:r>
        <w:rPr>
          <w:highlight w:val="none"/>
        </w:rPr>
        <w:t xml:space="preserve"> further processing.  The use of grayscale images also reduces the data complexity and reduces computational and storage requirements.  Therefore, this pre-processing step is consistent with the “parsimony principle” that the study sought to adhere to.    </w:t>
      </w:r>
      <w:r>
        <w:rPr>
          <w:highlight w:val="none"/>
        </w:rPr>
      </w:r>
      <w:r>
        <w:rPr>
          <w:highlight w:val="none"/>
        </w:rPr>
      </w:r>
    </w:p>
    <w:p>
      <w:pPr>
        <w:pStyle w:val="835"/>
        <w:pBdr/>
        <w:spacing/>
        <w:ind/>
        <w:rPr/>
      </w:pPr>
      <w:r>
        <w:rPr>
          <w:highlight w:val="none"/>
        </w:rPr>
        <w:t xml:space="preserve">Feature Extraction</w:t>
      </w:r>
      <w:r/>
    </w:p>
    <w:p>
      <w:pPr>
        <w:pBdr/>
        <w:spacing/>
        <w:ind w:firstLine="0" w:left="0"/>
        <w:jc w:val="both"/>
        <w:rPr>
          <w:highlight w:val="none"/>
        </w:rPr>
      </w:pPr>
      <w:r>
        <w:rPr>
          <w:highlight w:val="none"/>
        </w:rPr>
        <w:t xml:space="preserve">Feature extraction seeks to obtain characteristics that describe the image.  Feature extra</w:t>
      </w:r>
      <w:r>
        <w:rPr>
          <w:highlight w:val="none"/>
        </w:rPr>
        <w:t xml:space="preserve">ction serves two important purposes.  First, images need not be directly used as inputs, rather a tabular data structure can be used.  This greatly reduces the computational complexity of the modeling exercise.  Second, only a fraction of the image has use</w:t>
      </w:r>
      <w:r>
        <w:rPr>
          <w:highlight w:val="none"/>
        </w:rPr>
        <w:t xml:space="preserve">ful information (e.g., a tumor).  Feature extraction can be used to highlight this aspect of the image and thus increase the signal to noise ratio of the</w:t>
      </w:r>
      <w:r>
        <w:rPr>
          <w:highlight w:val="none"/>
        </w:rPr>
        <w:t xml:space="preserve"> inputs.  Several metrics have been suggested in  the literature to extract information among images (Dalal and Triggs, 2005; Nixon and Aguado, 2019).  Table 1 lists the features used in this study along with an explanation of what features they extract.  </w:t>
      </w:r>
      <w:r>
        <w:rPr>
          <w:highlight w:val="none"/>
        </w:rPr>
      </w:r>
      <w:r>
        <w:rPr>
          <w:highlight w:val="none"/>
        </w:rPr>
      </w:r>
    </w:p>
    <w:p>
      <w:pPr>
        <w:pBdr/>
        <w:spacing/>
        <w:ind w:firstLine="0" w:left="0"/>
        <w:jc w:val="center"/>
        <w:rPr>
          <w:highlight w:val="none"/>
        </w:rPr>
      </w:pPr>
      <w:r>
        <w:rPr>
          <w:b/>
          <w:bCs/>
          <w:highlight w:val="none"/>
        </w:rPr>
        <w:t xml:space="preserve">Table 1:</w:t>
      </w:r>
      <w:r>
        <w:rPr>
          <w:highlight w:val="none"/>
        </w:rPr>
        <w:t xml:space="preserve"> Adopted Feature Extraction Metrics   </w:t>
      </w:r>
      <w:r>
        <w:rPr>
          <w:highlight w:val="none"/>
        </w:rPr>
      </w:r>
      <w:r>
        <w:rPr>
          <w:highlight w:val="none"/>
        </w:rPr>
      </w:r>
    </w:p>
    <w:tbl>
      <w:tblPr>
        <w:tblStyle w:val="703"/>
        <w:tblW w:w="0" w:type="auto"/>
        <w:tblBorders/>
        <w:tblLayout w:type="fixed"/>
        <w:tblLook w:val="04A0" w:firstRow="1" w:lastRow="0" w:firstColumn="1" w:lastColumn="0" w:noHBand="0" w:noVBand="1"/>
      </w:tblPr>
      <w:tblGrid>
        <w:gridCol w:w="2387"/>
        <w:gridCol w:w="6945"/>
      </w:tblGrid>
      <w:tr>
        <w:trPr/>
        <w:tc>
          <w:tcPr>
            <w:tcBorders/>
            <w:tcW w:w="2387" w:type="dxa"/>
            <w:textDirection w:val="lrTb"/>
            <w:noWrap w:val="false"/>
          </w:tcPr>
          <w:p>
            <w:pPr>
              <w:pBdr/>
              <w:spacing/>
              <w:ind/>
              <w:jc w:val="center"/>
              <w:rPr>
                <w:b/>
                <w:bCs/>
                <w:highlight w:val="none"/>
              </w:rPr>
            </w:pPr>
            <w:r>
              <w:rPr>
                <w:b/>
                <w:bCs/>
                <w:highlight w:val="none"/>
              </w:rPr>
              <w:t xml:space="preserve">Metric</w:t>
            </w:r>
            <w:r>
              <w:rPr>
                <w:b/>
                <w:bCs/>
                <w:highlight w:val="none"/>
              </w:rPr>
            </w:r>
            <w:r>
              <w:rPr>
                <w:b/>
                <w:bCs/>
                <w:highlight w:val="none"/>
              </w:rPr>
            </w:r>
          </w:p>
        </w:tc>
        <w:tc>
          <w:tcPr>
            <w:tcBorders/>
            <w:tcW w:w="6945" w:type="dxa"/>
            <w:textDirection w:val="lrTb"/>
            <w:noWrap w:val="false"/>
          </w:tcPr>
          <w:p>
            <w:pPr>
              <w:pBdr/>
              <w:spacing/>
              <w:ind/>
              <w:jc w:val="center"/>
              <w:rPr>
                <w:b/>
                <w:bCs/>
                <w:highlight w:val="none"/>
              </w:rPr>
            </w:pPr>
            <w:r>
              <w:rPr>
                <w:b/>
                <w:bCs/>
                <w:highlight w:val="none"/>
              </w:rPr>
              <w:t xml:space="preserve">Remarks</w:t>
            </w:r>
            <w:r>
              <w:rPr>
                <w:b/>
                <w:bCs/>
                <w:highlight w:val="none"/>
              </w:rPr>
            </w:r>
            <w:r>
              <w:rPr>
                <w:b/>
                <w:bCs/>
                <w:highlight w:val="none"/>
              </w:rPr>
            </w:r>
          </w:p>
        </w:tc>
      </w:tr>
      <w:tr>
        <w:trPr/>
        <w:tc>
          <w:tcPr>
            <w:tcBorders/>
            <w:tcW w:w="2387" w:type="dxa"/>
            <w:textDirection w:val="lrTb"/>
            <w:noWrap w:val="false"/>
          </w:tcPr>
          <w:p>
            <w:pPr>
              <w:pBdr/>
              <w:spacing/>
              <w:ind/>
              <w:jc w:val="left"/>
              <w:rPr>
                <w:highlight w:val="none"/>
              </w:rPr>
            </w:pPr>
            <w:r>
              <w:rPr>
                <w:highlight w:val="none"/>
              </w:rPr>
              <w:t xml:space="preserve">HOG</w:t>
            </w:r>
            <w:r>
              <w:rPr>
                <w:highlight w:val="none"/>
              </w:rPr>
            </w:r>
            <w:r>
              <w:rPr>
                <w:highlight w:val="none"/>
              </w:rPr>
            </w:r>
          </w:p>
        </w:tc>
        <w:tc>
          <w:tcPr>
            <w:tcBorders/>
            <w:tcW w:w="6945" w:type="dxa"/>
            <w:textDirection w:val="lrTb"/>
            <w:noWrap w:val="false"/>
          </w:tcPr>
          <w:p>
            <w:pPr>
              <w:pBdr/>
              <w:spacing/>
              <w:ind/>
              <w:jc w:val="left"/>
              <w:rPr>
                <w:highlight w:val="none"/>
              </w:rPr>
            </w:pPr>
            <w:r>
              <w:rPr>
                <w:highlight w:val="none"/>
              </w:rPr>
              <w:t xml:space="preserve">Captures local edges and shapes;  Multiple HOG metrics can be computed for a given image</w:t>
            </w:r>
            <w:r>
              <w:rPr>
                <w:highlight w:val="none"/>
              </w:rPr>
            </w:r>
            <w:r>
              <w:rPr>
                <w:highlight w:val="none"/>
              </w:rPr>
            </w:r>
          </w:p>
        </w:tc>
      </w:tr>
      <w:tr>
        <w:trPr/>
        <w:tc>
          <w:tcPr>
            <w:tcBorders/>
            <w:tcW w:w="2387" w:type="dxa"/>
            <w:textDirection w:val="lrTb"/>
            <w:noWrap w:val="false"/>
          </w:tcPr>
          <w:p>
            <w:pPr>
              <w:pBdr/>
              <w:spacing/>
              <w:ind/>
              <w:jc w:val="left"/>
              <w:rPr>
                <w:highlight w:val="none"/>
              </w:rPr>
            </w:pPr>
            <w:r>
              <w:rPr>
                <w:highlight w:val="none"/>
              </w:rPr>
              <w:t xml:space="preserve">Zernike</w:t>
            </w:r>
            <w:r>
              <w:rPr>
                <w:highlight w:val="none"/>
              </w:rPr>
            </w:r>
            <w:r>
              <w:rPr>
                <w:highlight w:val="none"/>
              </w:rPr>
            </w:r>
          </w:p>
        </w:tc>
        <w:tc>
          <w:tcPr>
            <w:tcBorders/>
            <w:tcW w:w="6945" w:type="dxa"/>
            <w:textDirection w:val="lrTb"/>
            <w:noWrap w:val="false"/>
          </w:tcPr>
          <w:p>
            <w:pPr>
              <w:pBdr/>
              <w:spacing/>
              <w:ind/>
              <w:jc w:val="left"/>
              <w:rPr>
                <w:highlight w:val="none"/>
              </w:rPr>
            </w:pPr>
            <w:r>
              <w:rPr>
                <w:highlight w:val="none"/>
              </w:rPr>
              <w:t xml:space="preserve">Global shape metrics, invariant to rotation</w:t>
            </w:r>
            <w:r>
              <w:rPr>
                <w:highlight w:val="none"/>
              </w:rPr>
            </w:r>
            <w:r>
              <w:rPr>
                <w:highlight w:val="none"/>
              </w:rPr>
            </w:r>
          </w:p>
        </w:tc>
      </w:tr>
      <w:tr>
        <w:trPr/>
        <w:tc>
          <w:tcPr>
            <w:tcBorders/>
            <w:tcW w:w="2387" w:type="dxa"/>
            <w:textDirection w:val="lrTb"/>
            <w:noWrap w:val="false"/>
          </w:tcPr>
          <w:p>
            <w:pPr>
              <w:pBdr/>
              <w:spacing/>
              <w:ind/>
              <w:jc w:val="left"/>
              <w:rPr>
                <w:highlight w:val="none"/>
              </w:rPr>
            </w:pPr>
            <w:r>
              <w:rPr>
                <w:highlight w:val="none"/>
              </w:rPr>
              <w:t xml:space="preserve">Haralick/GCLM</w:t>
            </w:r>
            <w:r>
              <w:rPr>
                <w:highlight w:val="none"/>
              </w:rPr>
            </w:r>
            <w:r>
              <w:rPr>
                <w:highlight w:val="none"/>
              </w:rPr>
            </w:r>
          </w:p>
        </w:tc>
        <w:tc>
          <w:tcPr>
            <w:tcBorders/>
            <w:tcW w:w="6945" w:type="dxa"/>
            <w:textDirection w:val="lrTb"/>
            <w:noWrap w:val="false"/>
          </w:tcPr>
          <w:p>
            <w:pPr>
              <w:pBdr/>
              <w:spacing/>
              <w:ind/>
              <w:jc w:val="left"/>
              <w:rPr>
                <w:highlight w:val="none"/>
              </w:rPr>
            </w:pPr>
            <w:r>
              <w:rPr>
                <w:highlight w:val="none"/>
              </w:rPr>
              <w:t xml:space="preserve">Capture Texture and surfaces – Contrast, dissimilarity, homogeneity, correlation and Angular Second Moment (ASM/Energy)</w:t>
            </w:r>
            <w:r>
              <w:rPr>
                <w:highlight w:val="none"/>
              </w:rPr>
            </w:r>
            <w:r>
              <w:rPr>
                <w:highlight w:val="none"/>
              </w:rPr>
            </w:r>
          </w:p>
        </w:tc>
      </w:tr>
      <w:tr>
        <w:trPr/>
        <w:tc>
          <w:tcPr>
            <w:tcBorders/>
            <w:tcW w:w="2387" w:type="dxa"/>
            <w:textDirection w:val="lrTb"/>
            <w:noWrap w:val="false"/>
          </w:tcPr>
          <w:p>
            <w:pPr>
              <w:pBdr/>
              <w:spacing/>
              <w:ind/>
              <w:jc w:val="left"/>
              <w:rPr>
                <w:highlight w:val="none"/>
              </w:rPr>
            </w:pPr>
            <w:r>
              <w:rPr>
                <w:highlight w:val="none"/>
              </w:rPr>
              <w:t xml:space="preserve">Entropy</w:t>
            </w:r>
            <w:r>
              <w:rPr>
                <w:highlight w:val="none"/>
              </w:rPr>
            </w:r>
            <w:r>
              <w:rPr>
                <w:highlight w:val="none"/>
              </w:rPr>
            </w:r>
          </w:p>
        </w:tc>
        <w:tc>
          <w:tcPr>
            <w:tcBorders/>
            <w:tcW w:w="6945" w:type="dxa"/>
            <w:textDirection w:val="lrTb"/>
            <w:noWrap w:val="false"/>
          </w:tcPr>
          <w:p>
            <w:pPr>
              <w:pBdr/>
              <w:spacing/>
              <w:ind/>
              <w:jc w:val="left"/>
              <w:rPr>
                <w:highlight w:val="none"/>
              </w:rPr>
            </w:pPr>
            <w:r>
              <w:rPr>
                <w:highlight w:val="none"/>
              </w:rPr>
              <w:t xml:space="preserve">Measure of information content or uncertainty</w:t>
            </w:r>
            <w:r>
              <w:rPr>
                <w:highlight w:val="none"/>
              </w:rPr>
            </w:r>
            <w:r>
              <w:rPr>
                <w:highlight w:val="none"/>
              </w:rPr>
            </w:r>
          </w:p>
        </w:tc>
      </w:tr>
      <w:tr>
        <w:trPr/>
        <w:tc>
          <w:tcPr>
            <w:tcBorders/>
            <w:tcW w:w="2387" w:type="dxa"/>
            <w:textDirection w:val="lrTb"/>
            <w:noWrap w:val="false"/>
          </w:tcPr>
          <w:p>
            <w:pPr>
              <w:pBdr/>
              <w:spacing/>
              <w:ind/>
              <w:jc w:val="left"/>
              <w:rPr>
                <w:highlight w:val="none"/>
              </w:rPr>
            </w:pPr>
            <w:r>
              <w:rPr>
                <w:highlight w:val="none"/>
              </w:rPr>
              <w:t xml:space="preserve">Statistical Moments</w:t>
            </w:r>
            <w:r>
              <w:rPr>
                <w:highlight w:val="none"/>
              </w:rPr>
            </w:r>
            <w:r>
              <w:rPr>
                <w:highlight w:val="none"/>
              </w:rPr>
            </w:r>
          </w:p>
        </w:tc>
        <w:tc>
          <w:tcPr>
            <w:tcBorders/>
            <w:tcW w:w="6945" w:type="dxa"/>
            <w:textDirection w:val="lrTb"/>
            <w:noWrap w:val="false"/>
          </w:tcPr>
          <w:p>
            <w:pPr>
              <w:pBdr/>
              <w:spacing/>
              <w:ind/>
              <w:jc w:val="left"/>
              <w:rPr>
                <w:highlight w:val="none"/>
              </w:rPr>
            </w:pPr>
            <w:r>
              <w:rPr>
                <w:highlight w:val="none"/>
              </w:rPr>
              <w:t xml:space="preserve">Central tendency, variance around mean, skewness, kurtosis, extreme values</w:t>
            </w:r>
            <w:r>
              <w:rPr>
                <w:highlight w:val="none"/>
              </w:rPr>
            </w:r>
            <w:r>
              <w:rPr>
                <w:highlight w:val="none"/>
              </w:rPr>
            </w:r>
          </w:p>
        </w:tc>
      </w:tr>
    </w:tbl>
    <w:p>
      <w:pPr>
        <w:pBdr/>
        <w:spacing/>
        <w:ind w:firstLine="0" w:left="0"/>
        <w:jc w:val="both"/>
        <w:rPr>
          <w:highlight w:val="none"/>
        </w:rPr>
      </w:pPr>
      <w:r>
        <w:rPr>
          <w:highlight w:val="none"/>
        </w:rPr>
      </w:r>
      <w:r>
        <w:rPr>
          <w:highlight w:val="none"/>
        </w:rPr>
      </w:r>
      <w:r>
        <w:rPr>
          <w:highlight w:val="none"/>
        </w:rPr>
      </w:r>
    </w:p>
    <w:p>
      <w:pPr>
        <w:pBdr/>
        <w:spacing/>
        <w:ind/>
        <w:jc w:val="both"/>
        <w:rPr>
          <w:highlight w:val="none"/>
        </w:rPr>
      </w:pPr>
      <w:r>
        <w:rPr>
          <w:highlight w:val="none"/>
        </w:rPr>
        <w:t xml:space="preserve">Hundreds to thous</w:t>
      </w:r>
      <w:r>
        <w:rPr>
          <w:highlight w:val="none"/>
        </w:rPr>
        <w:t xml:space="preserve">ands of factors can be extracted for each image depending upon the window sizes used for local feature extractors such as HOG (Dalal and Triggs, 2005).  In this study, the each </w:t>
      </w:r>
      <w:r>
        <w:rPr>
          <w:highlight w:val="none"/>
        </w:rPr>
        <w:t xml:space="preserve">128 x 128 image (16384 pixel intensities), were pared down to 364 dimensions - 324 HOG, 24 Zernkie, 5 GCLMs, entropy and 5 summary statistics.  Other feature extraction methods such as Gabor filters and Canny edge detection techniques were also explored.  </w:t>
      </w:r>
      <w:r>
        <w:rPr>
          <w:highlight w:val="none"/>
        </w:rPr>
      </w:r>
      <w:r>
        <w:rPr>
          <w:highlight w:val="none"/>
        </w:rPr>
      </w:r>
    </w:p>
    <w:p>
      <w:pPr>
        <w:pStyle w:val="835"/>
        <w:pBdr/>
        <w:spacing/>
        <w:ind/>
        <w:rPr>
          <w:highlight w:val="none"/>
        </w:rPr>
      </w:pPr>
      <w:r>
        <w:rPr>
          <w:highlight w:val="none"/>
        </w:rPr>
        <w:t xml:space="preserve">Feature Reduction</w:t>
      </w:r>
      <w:r>
        <w:rPr>
          <w:highlight w:val="none"/>
        </w:rPr>
      </w:r>
      <w:r>
        <w:rPr>
          <w:highlight w:val="none"/>
        </w:rPr>
      </w:r>
    </w:p>
    <w:p>
      <w:pPr>
        <w:pBdr/>
        <w:spacing/>
        <w:ind/>
        <w:jc w:val="both"/>
        <w:rPr>
          <w:highlight w:val="none"/>
        </w:rPr>
      </w:pPr>
      <w:r>
        <w:rPr>
          <w:highlight w:val="none"/>
        </w:rPr>
        <w:t xml:space="preserve">While the 364 features extracted significantly reduce the dimensionality of each image, it is still a significant number and multiple features may</w:t>
      </w:r>
      <w:r>
        <w:rPr>
          <w:highlight w:val="none"/>
        </w:rPr>
        <w:t xml:space="preserve"> contain similar information.  Therefore, using them directly as model inputs can lead to multicollinearity issues and other modeling challenges.  Feature reduction seeks to reduce the number of features that are finally used as model inputs.  The principl</w:t>
      </w:r>
      <w:r>
        <w:rPr>
          <w:highlight w:val="none"/>
        </w:rPr>
        <w:t xml:space="preserve">e of parsimony again suggests that the number of features be kept to a minimum.  Two strategies were utilized to reduce feature dimensionality.  1) The minimum redundancy maximum relevance (MRMR) approach was used reduce the number of features needed.  2) </w:t>
      </w:r>
      <w:r>
        <w:t xml:space="preserve">The Pairwise Controlled Manifold Approximation Projection (PaCMAP), a nonlinear dimensionality reduction technique, that preserves both local and global structures in high dimensional data was used.  PaCMAP is known t</w:t>
      </w:r>
      <w:r>
        <w:t xml:space="preserve">o provide better dimensionality reduction than other common techniques such as t-SNE and UMAP (Wang et al., 2021).  Cross-validation (CV) studies were used to select the number of features to retain using MRMR and PCMAP using the Random Forest Classifier (</w:t>
      </w:r>
      <w:r>
        <w:t xml:space="preserve">Breiman, 2001).  The final set comprised of 100 features after MRMR which were then collapsed into 12 dimensions using PaCMAP.  These 12 features were </w:t>
      </w:r>
      <w:r>
        <w:t xml:space="preserve">then used as model inputs.  Note PaCMAP creates subsets of 100 features in a lower (12 dimensions).  Therefore, it is important to recognize that 100 features are actually being used as model inputs albeit along 12 unique dimensions and not 100 dimensions identified via MRMR technique.</w:t>
      </w:r>
      <w:r/>
    </w:p>
    <w:p>
      <w:pPr>
        <w:pStyle w:val="835"/>
        <w:pBdr/>
        <w:spacing/>
        <w:ind/>
        <w:rPr/>
      </w:pPr>
      <w:r>
        <w:t xml:space="preserve">Model Development</w:t>
      </w:r>
      <w:r/>
      <w:r/>
    </w:p>
    <w:p>
      <w:pPr>
        <w:pBdr/>
        <w:spacing/>
        <w:ind/>
        <w:jc w:val="both"/>
        <w:rPr>
          <w:bCs w:val="0"/>
          <w:i w:val="0"/>
        </w:rPr>
      </w:pPr>
      <w:r>
        <w:rPr>
          <w:highlight w:val="none"/>
        </w:rPr>
      </w:r>
      <w:r>
        <w:rPr>
          <w:highlight w:val="none"/>
        </w:rPr>
        <w:t xml:space="preserve">Four different modeling approaches were adopted in this study - 1) Logistic Regression (LR); 2) Naive Bayes Classifier (NBC); 3) Extreme Learning Machines (ELM) and 4) Support Vector Machines (SVM).  All these techniques are well established and therefore not discussed here in detail.  Briefly, the Logistic Regression (LR) uses a nonlinear exponential (logistic) function to estimate the probability of a binary variable assuming a value of unity.  Naive Bayes Classifier uses the multivariate Gaussian Distribution function to estimate the probability of a binary variable obtain a value of one using Bayes’ theorem.  Independence among inputs is a key assumption in this approach.  Extreme learning machine is a neural network with a single hidden layer.  The connection weights between the input and the hidden layers are assigned randomly and the connection weights between the hidden and the output nodes are obtained via Penrose-Moore inversion procedure.  Support Vector Machines (SVM) </w:t>
      </w:r>
      <w:r>
        <w:rPr>
          <w:highlight w:val="none"/>
        </w:rPr>
        <w:t xml:space="preserve">use the kernel </w:t>
      </w:r>
      <w:r>
        <w:rPr>
          <w:i w:val="0"/>
          <w:iCs w:val="0"/>
          <w:highlight w:val="none"/>
        </w:rPr>
        <w:t xml:space="preserve">tr</w:t>
      </w:r>
      <w:r>
        <w:rPr>
          <w:i w:val="0"/>
          <w:iCs w:val="0"/>
          <w:highlight w:val="none"/>
        </w:rPr>
        <w:t xml:space="preserve">ick to compute the inner product of the mapped features in a higher dimensional plane where the binary data are linearly separable.  </w:t>
      </w:r>
      <w:r>
        <w:rPr>
          <w:bCs/>
          <w:i w:val="0"/>
          <w:iCs w:val="0"/>
        </w:rPr>
        <w:t xml:space="preserve">Unlike other techniques, SVM directly outputs the binary states.  Platt scaling was therefore employed to obtain probabilities of obtaining a given state (Platt, 1999).  </w:t>
      </w:r>
      <w:r>
        <w:rPr>
          <w:bCs w:val="0"/>
          <w:i w:val="0"/>
        </w:rPr>
      </w:r>
    </w:p>
    <w:p>
      <w:pPr>
        <w:pBdr/>
        <w:spacing/>
        <w:ind/>
        <w:jc w:val="both"/>
        <w:rPr>
          <w:bCs w:val="0"/>
          <w:i w:val="0"/>
        </w:rPr>
      </w:pPr>
      <w:r>
        <w:rPr>
          <w:bCs/>
          <w:i w:val="0"/>
          <w:iCs w:val="0"/>
        </w:rPr>
        <w:t xml:space="preserve">The entire dataset was randomly shuffled and 30% of the data was set aside for independent testing.  The remaining 70% of the data were used for training the model.  ELM and SVM entail some hyperparameters.  In ELM, the number of hidden nodes and the activation function are the two hyperparameters.  In SVM, the regularization function (C) and the kernel coefficient (</w:t>
      </w:r>
      <w:r/>
      <w:r>
        <w:rPr>
          <w:rFonts w:hint="default" w:ascii="AR PL UKai CN" w:hAnsi="AR PL UKai CN" w:eastAsia="AR PL UKai CN" w:cs="AR PL UKai CN"/>
          <w:bCs/>
          <w:i w:val="0"/>
          <w:iCs w:val="0"/>
        </w:rPr>
        <w:t xml:space="preserve">γ</w:t>
      </w:r>
      <w:r>
        <w:rPr>
          <w:bCs/>
          <w:i w:val="0"/>
          <w:iCs w:val="0"/>
        </w:rPr>
        <w:t xml:space="preserve">) are the two hyperparameters that were obtained by 5 fold cross-validation approach during the training process.  A constant seed (42) was used to ensure that the data were shuffled the same for all models, so that the results could be obtained consistently.  </w:t>
      </w:r>
      <w:r>
        <w:rPr>
          <w:bCs w:val="0"/>
          <w:i w:val="0"/>
        </w:rPr>
      </w:r>
    </w:p>
    <w:p>
      <w:pPr>
        <w:pBdr/>
        <w:spacing/>
        <w:ind/>
        <w:jc w:val="both"/>
        <w:rPr>
          <w:highlight w:val="none"/>
        </w:rPr>
      </w:pPr>
      <w:r>
        <w:rPr>
          <w:bCs/>
          <w:i w:val="0"/>
          <w:iCs w:val="0"/>
        </w:rPr>
        <w:t xml:space="preserve">The Receiver Operating Characteristics (ROC) were used to evaluate the models by computing necessary metrics on the independent testing data (Fawcett, 2004). </w:t>
      </w:r>
      <w:r>
        <w:t xml:space="preserve">  The area under the ROC curve (AUC) was used to evaluate if the model performance was better than a random guess.  </w:t>
      </w:r>
      <w:r>
        <w:t xml:space="preserve">The true positive rate (tpr), false negative rate (fnr), accuracy score and F1 statistic were employed to evaluate model fits and also identify suitable cut-off.  As the dataset was imbalanced, a cut-off value of 0.5 cannot be expected to yield best results.  If the model however yields optimal cut-offs close to 0.5 then the models are not very sensitive to the data imbalance.  However, if the optimal cut-off deviates significantly from the central value of 0.5 then the technique is sensitive to the data imbalance.  This insight is critical when evaluating the suitability of the models. </w:t>
      </w:r>
      <w:r/>
    </w:p>
    <w:p>
      <w:pPr>
        <w:pBdr/>
        <w:spacing/>
        <w:ind/>
        <w:jc w:val="both"/>
        <w:rPr/>
      </w:pPr>
      <w:r/>
      <w:r/>
      <w:r/>
    </w:p>
    <w:p>
      <w:pPr>
        <w:pBdr/>
        <w:spacing/>
        <w:ind/>
        <w:jc w:val="both"/>
        <w:rPr>
          <w:highlight w:val="none"/>
        </w:rPr>
      </w:pPr>
      <w:r>
        <w:rPr>
          <w:highlight w:val="none"/>
        </w:rPr>
        <w:t xml:space="preserve">Custom programs were developed in Python 3.11 to perform all steps.  Several libraries including but not limited to various modules of scikit-learn, pymrmr, mahotas, cv2, numpy, pandas and scipy. Logisitic regression was implemented using statsmodels.api package, Naive Bayes was implemented using scikit-learn, ELM was implemented using hpelm and SVM was implemented using the svc classifier function in scikit=learn library.  The dataset and codes are provided on a dedicated Github link.  </w:t>
      </w:r>
      <w:r/>
      <w:r>
        <w:rPr>
          <w:highlight w:val="none"/>
        </w:rPr>
      </w:r>
      <w:r>
        <w:rPr>
          <w:highlight w:val="none"/>
        </w:rPr>
      </w:r>
      <w:r>
        <w:rPr>
          <w:highlight w:val="none"/>
        </w:rPr>
      </w:r>
    </w:p>
    <w:p>
      <w:pPr>
        <w:pStyle w:val="835"/>
        <w:pBdr/>
        <w:spacing/>
        <w:ind/>
        <w:rPr>
          <w:highlight w:val="none"/>
        </w:rPr>
      </w:pPr>
      <w:r>
        <w:t xml:space="preserve">Results and Discussion  </w:t>
      </w:r>
      <w:r>
        <w:rPr>
          <w:highlight w:val="none"/>
        </w:rPr>
      </w:r>
    </w:p>
    <w:p>
      <w:pPr>
        <w:pBdr/>
        <w:spacing/>
        <w:ind/>
        <w:jc w:val="both"/>
        <w:rPr>
          <w:b/>
          <w:bCs/>
          <w:highlight w:val="none"/>
        </w:rPr>
      </w:pPr>
      <w:r>
        <w:rPr>
          <w:b/>
          <w:bCs/>
          <w:highlight w:val="none"/>
        </w:rPr>
        <w:t xml:space="preserve">References</w:t>
      </w:r>
      <w:r>
        <w:rPr>
          <w:b/>
          <w:bCs/>
          <w:highlight w:val="none"/>
        </w:rPr>
      </w:r>
      <w:r>
        <w:rPr>
          <w:b/>
          <w:bCs/>
          <w:highlight w:val="none"/>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Filho, A.M., Laversanne, M., Ferlay, J., Colombet, M., Piñeros, M., Znaor, A., Parkin, D.M., Soerjomataram, I. and Bray, F., 2025. The GLOBOCAN 2022 cancer estimates: data sources, methods, and a snapshot of the cancer burden worldwide. </w:t>
      </w:r>
      <w:r>
        <w:rPr>
          <w:rFonts w:ascii="Times New Roman" w:hAnsi="Times New Roman" w:eastAsia="Times New Roman" w:cs="Times New Roman"/>
          <w:i/>
          <w:color w:val="000000"/>
          <w:sz w:val="24"/>
        </w:rPr>
        <w:t xml:space="preserve">International Journal of Cancer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156</w:t>
      </w:r>
      <w:r>
        <w:rPr>
          <w:rFonts w:ascii="Times New Roman" w:hAnsi="Times New Roman" w:eastAsia="Times New Roman" w:cs="Times New Roman"/>
          <w:color w:val="000000"/>
          <w:sz w:val="24"/>
        </w:rPr>
        <w:t xml:space="preserve">(7), pp.1336-1346.</w:t>
      </w:r>
      <w:r/>
      <w:r/>
    </w:p>
    <w:p>
      <w:pPr>
        <w:pBdr/>
        <w:spacing/>
        <w:ind/>
        <w:jc w:val="both"/>
        <w:rPr>
          <w:b/>
          <w:bCs/>
          <w:highlight w:val="none"/>
        </w:rPr>
      </w:pPr>
      <w:r>
        <w:rPr>
          <w:b/>
          <w:bCs/>
          <w:highlight w:val="none"/>
        </w:rPr>
      </w:r>
      <w:r>
        <w:t xml:space="preserve">Perkins, A. and Liu, G., 2016. Primary brain tumors in adults: diagnosis and treatment. American family physician, 93(3), pp.211-217B.</w:t>
      </w:r>
      <w:r>
        <w:rPr>
          <w:b/>
          <w:bCs/>
          <w:highlight w:val="none"/>
        </w:rPr>
      </w:r>
      <w:r>
        <w:rPr>
          <w:b/>
          <w:bCs/>
          <w:highlight w:val="none"/>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Delaidelli, A. and Moiraghi, A., 2024. Recent advances in the diagnosis and treatment of brain tumors. </w:t>
      </w:r>
      <w:r>
        <w:rPr>
          <w:rFonts w:ascii="Times New Roman" w:hAnsi="Times New Roman" w:eastAsia="Times New Roman" w:cs="Times New Roman"/>
          <w:i/>
          <w:color w:val="000000"/>
          <w:sz w:val="24"/>
        </w:rPr>
        <w:t xml:space="preserve">Brain sciences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14</w:t>
      </w:r>
      <w:r>
        <w:rPr>
          <w:rFonts w:ascii="Times New Roman" w:hAnsi="Times New Roman" w:eastAsia="Times New Roman" w:cs="Times New Roman"/>
          <w:color w:val="000000"/>
          <w:sz w:val="24"/>
        </w:rPr>
        <w:t xml:space="preserve">(3), p.224.</w:t>
      </w:r>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Weishaupt, D., Köchli, V.D. and Marincek, B., 2006. </w:t>
      </w:r>
      <w:r>
        <w:rPr>
          <w:rFonts w:ascii="Times New Roman" w:hAnsi="Times New Roman" w:eastAsia="Times New Roman" w:cs="Times New Roman"/>
          <w:i/>
          <w:color w:val="000000"/>
          <w:sz w:val="24"/>
        </w:rPr>
        <w:t xml:space="preserve">How does MRI work? An introduction to the physics and function of magnetic resonance imaging</w:t>
      </w:r>
      <w:r>
        <w:rPr>
          <w:rFonts w:ascii="Times New Roman" w:hAnsi="Times New Roman" w:eastAsia="Times New Roman" w:cs="Times New Roman"/>
          <w:color w:val="000000"/>
          <w:sz w:val="24"/>
        </w:rPr>
        <w:t xml:space="preserve">. Berlin, Heidelberg: Springer Berlin Heidelberg.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Kang, J., Ullah, Z. and Gwak, J., 2021. MRI-based brain tumor classification using ensemble of deep features and machine learning classifiers. </w:t>
      </w:r>
      <w:r>
        <w:rPr>
          <w:rFonts w:ascii="Times New Roman" w:hAnsi="Times New Roman" w:eastAsia="Times New Roman" w:cs="Times New Roman"/>
          <w:i/>
          <w:color w:val="000000"/>
          <w:sz w:val="24"/>
        </w:rPr>
        <w:t xml:space="preserve">Sensors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21</w:t>
      </w:r>
      <w:r>
        <w:rPr>
          <w:rFonts w:ascii="Times New Roman" w:hAnsi="Times New Roman" w:eastAsia="Times New Roman" w:cs="Times New Roman"/>
          <w:color w:val="000000"/>
          <w:sz w:val="24"/>
        </w:rPr>
        <w:t xml:space="preserve">(6), p.2222.</w:t>
      </w:r>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t xml:space="preserve">Saeedi, S., Rezayi, S., Keshavarz, H. and R. Niakan Kalhori, S., 2023.  MRI-based brain tumor detection using convolutional deep learning  methods and chosen machine learning techniques. BMC Medical Informatics and Decision Making, 23(1), p.16.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Anantharajan, S., Gunasekaran, S. and Subramanian, T., 2024. MRI brain tumor detection using deep learning and machine learning approaches. </w:t>
      </w:r>
      <w:r>
        <w:rPr>
          <w:rFonts w:ascii="Times New Roman" w:hAnsi="Times New Roman" w:eastAsia="Times New Roman" w:cs="Times New Roman"/>
          <w:i/>
          <w:color w:val="000000"/>
          <w:sz w:val="24"/>
        </w:rPr>
        <w:t xml:space="preserve">Measurement: Sensors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31</w:t>
      </w:r>
      <w:r>
        <w:rPr>
          <w:rFonts w:ascii="Times New Roman" w:hAnsi="Times New Roman" w:eastAsia="Times New Roman" w:cs="Times New Roman"/>
          <w:color w:val="000000"/>
          <w:sz w:val="24"/>
        </w:rPr>
        <w:t xml:space="preserve">, p.101026.</w:t>
      </w:r>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t xml:space="preserve">Jader, R.F., Kareem, S.W. and Awla, H.Q., 2024. Ensemble deep learning technique for detecting MRI brain tumor. Applied Computational Intelligence and Soft Computing, 2024(1), p.6615468.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Dorfner, F.J., Patel, J.B., Kalpathy-Cramer, J., Gerstner, E.R. and Bridge, C.P., 2025. A review of deep learning for brain tumor analysis in MRI. </w:t>
      </w:r>
      <w:r>
        <w:rPr>
          <w:rFonts w:ascii="Times New Roman" w:hAnsi="Times New Roman" w:eastAsia="Times New Roman" w:cs="Times New Roman"/>
          <w:i/>
          <w:color w:val="000000"/>
          <w:sz w:val="24"/>
        </w:rPr>
        <w:t xml:space="preserve">NPJ Precision Oncology</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9</w:t>
      </w:r>
      <w:r>
        <w:rPr>
          <w:rFonts w:ascii="Times New Roman" w:hAnsi="Times New Roman" w:eastAsia="Times New Roman" w:cs="Times New Roman"/>
          <w:color w:val="000000"/>
          <w:sz w:val="24"/>
        </w:rPr>
        <w:t xml:space="preserve">(1), p.2.</w:t>
      </w:r>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t xml:space="preserve">M. Nickparvar, Brain Tumor MRI Dataset, 2021. </w:t>
      </w:r>
      <w:r>
        <w:rPr>
          <w:rFonts w:ascii="Times New Roman" w:hAnsi="Times New Roman" w:eastAsia="Times New Roman" w:cs="Times New Roman"/>
          <w:color w:val="000000"/>
          <w:sz w:val="24"/>
          <w:szCs w:val="24"/>
        </w:rPr>
        <w:t xml:space="preserve">DOI:</w:t>
      </w:r>
      <w:r>
        <w:rPr>
          <w:rFonts w:ascii="Times New Roman" w:hAnsi="Times New Roman" w:eastAsia="Times New Roman" w:cs="Times New Roman"/>
          <w:color w:val="000000"/>
          <w:sz w:val="24"/>
          <w:szCs w:val="24"/>
        </w:rPr>
        <w:t xml:space="preserve">10.34740/KAGGLE/DSV/2645886; </w:t>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rPr>
        <w:t xml:space="preserve">Available online at: </w:t>
      </w:r>
      <w:r>
        <w:rPr>
          <w:rFonts w:ascii="Times New Roman" w:hAnsi="Times New Roman" w:eastAsia="Times New Roman" w:cs="Times New Roman"/>
          <w:color w:val="000000"/>
          <w:sz w:val="24"/>
          <w:szCs w:val="24"/>
        </w:rPr>
      </w:r>
      <w:hyperlink r:id="rId10" w:tooltip="https://www.kaggle.com/dsv/2645886" w:history="1">
        <w:r>
          <w:rPr>
            <w:rStyle w:val="874"/>
            <w:rFonts w:ascii="Times New Roman" w:hAnsi="Times New Roman" w:eastAsia="Times New Roman" w:cs="Times New Roman"/>
            <w:sz w:val="24"/>
            <w:szCs w:val="24"/>
          </w:rPr>
          <w:t xml:space="preserve">https://www.kaggle.com/dsv/2645886</w:t>
        </w:r>
        <w:r>
          <w:rPr>
            <w:rStyle w:val="874"/>
            <w:rFonts w:ascii="Times New Roman" w:hAnsi="Times New Roman" w:eastAsia="Times New Roman" w:cs="Times New Roman"/>
            <w:sz w:val="24"/>
            <w:szCs w:val="24"/>
          </w:rPr>
        </w:r>
        <w:r>
          <w:rPr>
            <w:rStyle w:val="874"/>
            <w:rFonts w:ascii="Times New Roman" w:hAnsi="Times New Roman" w:eastAsia="Times New Roman" w:cs="Times New Roman"/>
            <w:sz w:val="24"/>
            <w:szCs w:val="24"/>
            <w:lang w:val="en-US"/>
          </w:rPr>
        </w:r>
      </w:hyperlink>
      <w:r>
        <w:rPr>
          <w:rFonts w:ascii="Times New Roman" w:hAnsi="Times New Roman" w:eastAsia="Times New Roman" w:cs="Times New Roman"/>
          <w:color w:val="000000"/>
          <w:sz w:val="24"/>
          <w:szCs w:val="24"/>
          <w:lang w:val="en-US"/>
        </w:rPr>
        <w:t xml:space="preserve">; Access: Jul 30th 2025</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highlight w:val="none"/>
          <w:lang w:val="en-US"/>
          <w14:ligatures w14:val="none"/>
        </w:rPr>
      </w:r>
      <w:r>
        <w:rPr>
          <w:rFonts w:ascii="Times New Roman" w:hAnsi="Times New Roman" w:eastAsia="Times New Roman" w:cs="Times New Roman"/>
          <w:color w:val="000000"/>
          <w:sz w:val="24"/>
          <w:szCs w:val="24"/>
          <w:highlight w:val="none"/>
          <w:lang w:val="en-US"/>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r>
      <w:r>
        <w:t xml:space="preserve">Özkaraca O, Bağrıaçık Oİ, Gürüler H, Khan F, Hussain J, Khan J, Laila  UE. Multiple brain tumor classification with dense CNN architecture  using brain MRI images. Life. 2023 Jan 28;13(2):349.</w:t>
      </w:r>
      <w:r>
        <w:rPr>
          <w:rFonts w:ascii="Times New Roman" w:hAnsi="Times New Roman" w:eastAsia="Times New Roman" w:cs="Times New Roman"/>
          <w:color w:val="000000"/>
          <w:sz w:val="24"/>
          <w:szCs w:val="24"/>
          <w:highlight w:val="none"/>
          <w:lang w:val="en-US"/>
          <w14:ligatures w14:val="none"/>
        </w:rPr>
      </w:r>
      <w:r>
        <w:rPr>
          <w:rFonts w:ascii="Times New Roman" w:hAnsi="Times New Roman" w:eastAsia="Times New Roman" w:cs="Times New Roman"/>
          <w:color w:val="000000"/>
          <w:sz w:val="24"/>
          <w:szCs w:val="24"/>
          <w:highlight w:val="none"/>
          <w:lang w:val="en-US"/>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Amran, G.A., Alsharam, M.S., Blajam, A.O.A., Hasan, A.A., Alfaifi, M.Y., Amran, M.H., Gumaei, A. and Eldin, S.M., 2022. Brain tumor classification and detection using hybrid deep tumor network. </w:t>
      </w:r>
      <w:r>
        <w:rPr>
          <w:rFonts w:ascii="Times New Roman" w:hAnsi="Times New Roman" w:eastAsia="Times New Roman" w:cs="Times New Roman"/>
          <w:i/>
          <w:color w:val="000000"/>
          <w:sz w:val="24"/>
        </w:rPr>
        <w:t xml:space="preserve">Electronics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11</w:t>
      </w:r>
      <w:r>
        <w:rPr>
          <w:rFonts w:ascii="Times New Roman" w:hAnsi="Times New Roman" w:eastAsia="Times New Roman" w:cs="Times New Roman"/>
          <w:color w:val="000000"/>
          <w:sz w:val="24"/>
        </w:rPr>
        <w:t xml:space="preserve">(21), p.3457.</w:t>
      </w:r>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Reyes, D. and Sánchez, J., 2024. Performance of convolutional neural networks for the classification of brain tumors using magnetic resonance imaging. </w:t>
      </w:r>
      <w:r>
        <w:rPr>
          <w:rFonts w:ascii="Times New Roman" w:hAnsi="Times New Roman" w:eastAsia="Times New Roman" w:cs="Times New Roman"/>
          <w:i/>
          <w:color w:val="000000"/>
          <w:sz w:val="24"/>
        </w:rPr>
        <w:t xml:space="preserve">Heliyon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10</w:t>
      </w:r>
      <w:r>
        <w:rPr>
          <w:rFonts w:ascii="Times New Roman" w:hAnsi="Times New Roman" w:eastAsia="Times New Roman" w:cs="Times New Roman"/>
          <w:color w:val="000000"/>
          <w:sz w:val="24"/>
        </w:rPr>
        <w:t xml:space="preserve">(3).</w:t>
      </w:r>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Nixon, M. and Aguado, A., 2019. </w:t>
      </w:r>
      <w:r>
        <w:rPr>
          <w:rFonts w:ascii="Times New Roman" w:hAnsi="Times New Roman" w:eastAsia="Times New Roman" w:cs="Times New Roman"/>
          <w:i/>
          <w:color w:val="000000"/>
          <w:sz w:val="24"/>
        </w:rPr>
        <w:t xml:space="preserve">Feature extraction and image processing for computer vision</w:t>
      </w:r>
      <w:r>
        <w:rPr>
          <w:rFonts w:ascii="Times New Roman" w:hAnsi="Times New Roman" w:eastAsia="Times New Roman" w:cs="Times New Roman"/>
          <w:color w:val="000000"/>
          <w:sz w:val="24"/>
        </w:rPr>
        <w:t xml:space="preserve">. Academic press.</w:t>
      </w:r>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Dalal, N. and Triggs, B., 2005, June. Histograms of oriented gradients for human detection. In </w:t>
      </w:r>
      <w:r>
        <w:rPr>
          <w:rFonts w:ascii="Times New Roman" w:hAnsi="Times New Roman" w:eastAsia="Times New Roman" w:cs="Times New Roman"/>
          <w:i/>
          <w:color w:val="000000"/>
          <w:sz w:val="24"/>
        </w:rPr>
        <w:t xml:space="preserve">2005 IEEE computer society conference on computer vision and pattern recognition (CVPR'05)</w:t>
      </w:r>
      <w:r>
        <w:rPr>
          <w:rFonts w:ascii="Times New Roman" w:hAnsi="Times New Roman" w:eastAsia="Times New Roman" w:cs="Times New Roman"/>
          <w:color w:val="000000"/>
          <w:sz w:val="24"/>
        </w:rPr>
        <w:t xml:space="preserve"> (Vol. 1, pp. 886-893). Ieee.</w:t>
      </w:r>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Breiman, L., 2001. Random forests. </w:t>
      </w:r>
      <w:r>
        <w:rPr>
          <w:rFonts w:ascii="Times New Roman" w:hAnsi="Times New Roman" w:eastAsia="Times New Roman" w:cs="Times New Roman"/>
          <w:i/>
          <w:color w:val="000000"/>
          <w:sz w:val="24"/>
        </w:rPr>
        <w:t xml:space="preserve">Machine learning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45</w:t>
      </w:r>
      <w:r>
        <w:rPr>
          <w:rFonts w:ascii="Times New Roman" w:hAnsi="Times New Roman" w:eastAsia="Times New Roman" w:cs="Times New Roman"/>
          <w:color w:val="000000"/>
          <w:sz w:val="24"/>
        </w:rPr>
        <w:t xml:space="preserve">(1), pp.5-32.</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Platt, J., 1999. Probabilistic outputs for support vector machines and comparisons to regularized likelihood methods. </w:t>
      </w:r>
      <w:r>
        <w:rPr>
          <w:rFonts w:ascii="Times New Roman" w:hAnsi="Times New Roman" w:eastAsia="Times New Roman" w:cs="Times New Roman"/>
          <w:i/>
          <w:color w:val="000000"/>
          <w:sz w:val="24"/>
        </w:rPr>
        <w:t xml:space="preserve">Advances in large margin classifiers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10</w:t>
      </w:r>
      <w:r>
        <w:rPr>
          <w:rFonts w:ascii="Times New Roman" w:hAnsi="Times New Roman" w:eastAsia="Times New Roman" w:cs="Times New Roman"/>
          <w:color w:val="000000"/>
          <w:sz w:val="24"/>
        </w:rPr>
        <w:t xml:space="preserve">(3), pp.61-74.</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Wang, Y., Huang, H., Rudin, C. and Shaposhnik, Y., 2021. Understanding how dimension reduction tools work: an empirical approach to deciphering t-SNE, UMAP, TriMAP, and PaCMAP for data visualization. </w:t>
      </w:r>
      <w:r>
        <w:rPr>
          <w:rFonts w:ascii="Times New Roman" w:hAnsi="Times New Roman" w:eastAsia="Times New Roman" w:cs="Times New Roman"/>
          <w:i/>
          <w:color w:val="000000"/>
          <w:sz w:val="24"/>
        </w:rPr>
        <w:t xml:space="preserve">Journal of Machine Learning Research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22</w:t>
      </w:r>
      <w:r>
        <w:rPr>
          <w:rFonts w:ascii="Times New Roman" w:hAnsi="Times New Roman" w:eastAsia="Times New Roman" w:cs="Times New Roman"/>
          <w:color w:val="000000"/>
          <w:sz w:val="24"/>
        </w:rPr>
        <w:t xml:space="preserve">(201), pp.1-73.</w:t>
      </w:r>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highlight w:val="none"/>
          <w:lang w:val="en-US"/>
        </w:rPr>
      </w:r>
      <w:r>
        <w:t xml:space="preserve">Fawcett, T., 2004. ROC graphs: Notes and practical considerations for researchers. Machine learning, 31(1), pp.1-38.</w:t>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 PL UKai CN">
    <w:panose1 w:val="020005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7A60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b/>
      <w:bCs/>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link w:val="835"/>
    <w:uiPriority w:val="9"/>
    <w:pPr>
      <w:pBdr/>
      <w:spacing/>
      <w:ind/>
    </w:pPr>
    <w:rPr>
      <w:b/>
      <w:bCs/>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kaggle.com/dsv/264588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2025-08-18T23:41:32Z</dcterms:modified>
</cp:coreProperties>
</file>