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6858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00075"/>
                    </a:xfrm>
                    <a:prstGeom prst="rect">
                      <a:avLst/>
                    </a:prstGeom>
                  </pic:spPr>
                </pic:pic>
              </a:graphicData>
            </a:graphic>
          </wp:inline>
        </w:drawing>
      </w:r>
    </w:p>
    <w:p>
      <w:pPr>
        <w:spacing w:after="20" w:before="40" w:line="260"/>
        <w:jc w:val="center"/>
      </w:pPr>
      <w:r>
        <w:rPr>
          <w:rFonts w:ascii="Times New Roman" w:cs="Times New Roman" w:eastAsia="Times New Roman" w:hAnsi="Times New Roman"/>
          <w:b/>
          <w:bCs/>
          <w:i w:val="false"/>
          <w:iCs w:val="false"/>
          <w:sz w:val="30"/>
          <w:szCs w:val="30"/>
        </w:rPr>
        <w:t xml:space="preserve">Chaitanya Bharathi Institute of Technology</w:t>
      </w:r>
    </w:p>
    <w:p>
      <w:pPr>
        <w:spacing w:after="100" w:before="40" w:line="260"/>
        <w:jc w:val="center"/>
      </w:pPr>
      <w:r>
        <w:rPr>
          <w:rFonts w:ascii="Times New Roman" w:cs="Times New Roman" w:eastAsia="Times New Roman" w:hAnsi="Times New Roman"/>
          <w:b w:val="false"/>
          <w:bCs w:val="false"/>
          <w:i/>
          <w:iCs/>
          <w:sz w:val="20"/>
          <w:szCs w:val="20"/>
        </w:rPr>
        <w:t xml:space="preserve">(Autonomous), Gandipet, Hyderabad</w:t>
      </w:r>
    </w:p>
    <w:p>
      <w:pPr>
        <w:spacing w:after="40" w:before="40" w:line="260"/>
        <w:jc w:val="center"/>
      </w:pPr>
      <w:r>
        <w:rPr>
          <w:rFonts w:ascii="Times New Roman" w:cs="Times New Roman" w:eastAsia="Times New Roman" w:hAnsi="Times New Roman"/>
          <w:b/>
          <w:bCs/>
          <w:i w:val="false"/>
          <w:iCs w:val="false"/>
          <w:sz w:val="26"/>
          <w:szCs w:val="26"/>
        </w:rPr>
        <w:t xml:space="preserve">Application for Software Development Project</w:t>
      </w:r>
    </w:p>
    <w:p>
      <w:pPr>
        <w:pBdr>
          <w:bottom w:val="single" w:color="999999" w:sz="6" w:space="1"/>
        </w:pBdr>
        <w:spacing w:after="100" w:before="100"/>
      </w:pPr>
      <w:r>
        <w:rPr>
          <w:rFonts w:ascii="Times New Roman" w:cs="Times New Roman" w:eastAsia="Times New Roman" w:hAnsi="Times New Roman"/>
          <w:b w:val="false"/>
          <w:bCs w:val="false"/>
          <w:i w:val="false"/>
          <w:iCs w:val="false"/>
          <w:sz w:val="22"/>
          <w:szCs w:val="22"/>
        </w:rPr>
        <w:t xml:space="preserve"/>
      </w:r>
    </w:p>
    <w:p>
      <w:pPr>
        <w:spacing w:after="120" w:before="120" w:line="260"/>
      </w:pPr>
      <w:r>
        <w:rPr>
          <w:rFonts w:ascii="Times New Roman" w:cs="Times New Roman" w:eastAsia="Times New Roman" w:hAnsi="Times New Roman"/>
          <w:b/>
          <w:bCs/>
          <w:i w:val="false"/>
          <w:iCs w:val="false"/>
          <w:sz w:val="24"/>
          <w:szCs w:val="24"/>
        </w:rPr>
        <w:t xml:space="preserve">A.  General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300"/>
        <w:gridCol w:w="5266"/>
      </w:tblGrid>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1.</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Application for</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Software Development Project</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2.</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Title of the Project</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LabSubmit — A Secure Laboratory Examination, Code Execution and Evaluation Platform with Server-Authoritative Exam Sessions and Exam Integrity Monitoring</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3.</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Department(s)</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Computer Science and Engineering — IoT and Cyber Security including Blockchain Technology (CSE – IoT &amp; CSBCT)</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4.</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Principal Investigator with designation</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highlight w:val="yellow"/>
                <w:highlightCs w:val="yellow"/>
              </w:rPr>
              <w:t xml:space="preserve">[Name of Faculty Guide]</w:t>
            </w:r>
            <w:r>
              <w:rPr>
                <w:rFonts w:ascii="Times New Roman" w:cs="Times New Roman" w:eastAsia="Times New Roman" w:hAnsi="Times New Roman"/>
                <w:b w:val="false"/>
                <w:bCs w:val="false"/>
                <w:i w:val="false"/>
                <w:iCs w:val="false"/>
                <w:sz w:val="22"/>
                <w:szCs w:val="22"/>
                <w:highlight w:val="yellow"/>
                <w:highlightCs w:val="yellow"/>
              </w:rPr>
              <w:t xml:space="preserve">, [Designation], Department of CSE (IoT &amp; CSBCT), CBIT</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5.</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Co-Investigator(s) with Designation(s)</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highlight w:val="yellow"/>
                <w:highlightCs w:val="yellow"/>
              </w:rPr>
              <w:t xml:space="preserve">[Name, Designation — if a second faculty member is to be included]</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6.</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Proposed student particulars (BE/ME)</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1. V Pranav</w:t>
            </w:r>
            <w:r>
              <w:rPr>
                <w:rFonts w:ascii="Times New Roman" w:cs="Times New Roman" w:eastAsia="Times New Roman" w:hAnsi="Times New Roman"/>
                <w:b w:val="false"/>
                <w:bCs w:val="false"/>
                <w:i w:val="false"/>
                <w:iCs w:val="false"/>
                <w:sz w:val="22"/>
                <w:szCs w:val="22"/>
              </w:rPr>
              <w:t xml:space="preserve">  —  Roll No. 160125749063</w:t>
            </w:r>
          </w:p>
          <w:p>
            <w:pPr>
              <w:spacing w:after="60" w:before="0" w:line="260"/>
            </w:pPr>
            <w:r>
              <w:rPr>
                <w:rFonts w:ascii="Times New Roman" w:cs="Times New Roman" w:eastAsia="Times New Roman" w:hAnsi="Times New Roman"/>
                <w:b w:val="false"/>
                <w:bCs w:val="false"/>
                <w:i/>
                <w:iCs/>
                <w:sz w:val="21"/>
                <w:szCs w:val="21"/>
              </w:rPr>
              <w:t xml:space="preserve">B.E. II Year (III Semester), CSE — IoT &amp; CSBCT</w:t>
            </w:r>
          </w:p>
          <w:p>
            <w:pPr>
              <w:spacing w:after="60" w:before="80" w:line="260"/>
            </w:pPr>
            <w:r>
              <w:rPr>
                <w:rFonts w:ascii="Times New Roman" w:cs="Times New Roman" w:eastAsia="Times New Roman" w:hAnsi="Times New Roman"/>
                <w:b/>
                <w:bCs/>
                <w:i w:val="false"/>
                <w:iCs w:val="false"/>
                <w:sz w:val="22"/>
                <w:szCs w:val="22"/>
              </w:rPr>
              <w:t xml:space="preserve">2. K Sai Rithvik Reddy</w:t>
            </w:r>
            <w:r>
              <w:rPr>
                <w:rFonts w:ascii="Times New Roman" w:cs="Times New Roman" w:eastAsia="Times New Roman" w:hAnsi="Times New Roman"/>
                <w:b w:val="false"/>
                <w:bCs w:val="false"/>
                <w:i w:val="false"/>
                <w:iCs w:val="false"/>
                <w:sz w:val="22"/>
                <w:szCs w:val="22"/>
              </w:rPr>
              <w:t xml:space="preserve">  —  Roll No. 160125749026</w:t>
            </w:r>
          </w:p>
          <w:p>
            <w:pPr>
              <w:spacing w:after="60" w:before="0" w:line="260"/>
            </w:pPr>
            <w:r>
              <w:rPr>
                <w:rFonts w:ascii="Times New Roman" w:cs="Times New Roman" w:eastAsia="Times New Roman" w:hAnsi="Times New Roman"/>
                <w:b w:val="false"/>
                <w:bCs w:val="false"/>
                <w:i/>
                <w:iCs/>
                <w:sz w:val="21"/>
                <w:szCs w:val="21"/>
              </w:rPr>
              <w:t xml:space="preserve">B.E. II Year (III Semester), CSE — IoT &amp; CSBCT</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7.</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Duration of the project</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12 months</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8.</w:t>
            </w:r>
          </w:p>
        </w:tc>
        <w:tc>
          <w:tcPr>
            <w:tcW w:type="dxa" w:w="29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Proposed Budget (Rs.)</w:t>
            </w:r>
          </w:p>
        </w:tc>
        <w:tc>
          <w:tcPr>
            <w:tcW w:type="dxa" w:w="3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2"/>
                <w:szCs w:val="22"/>
              </w:rPr>
              <w:t xml:space="preserve">:</w:t>
            </w:r>
          </w:p>
        </w:tc>
        <w:tc>
          <w:tcPr>
            <w:tcW w:type="dxa" w:w="526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89,000 /-  (Rupees Eighty-Nine Thousand only)</w:t>
            </w:r>
          </w:p>
        </w:tc>
      </w:tr>
      <w:tr>
        <w:tc>
          <w:tcPr>
            <w:tcW w:type="dxa" w:w="56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9.</w:t>
            </w:r>
          </w:p>
        </w:tc>
        <w:tc>
          <w:tcPr>
            <w:tcW w:type="dxa" w:w="8466"/>
            <w:gridSpan w:val="3"/>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2"/>
                <w:szCs w:val="22"/>
              </w:rPr>
              <w:t xml:space="preserve">Abstract of the Project Proposal (100–150 words):</w:t>
            </w:r>
          </w:p>
        </w:tc>
      </w:tr>
      <w:tr>
        <w:tc>
          <w:tcPr>
            <w:tcW w:type="dxa" w:w="9026"/>
            <w:gridSpan w:val="4"/>
            <w:tcMar>
              <w:top w:type="dxa" w:w="70"/>
              <w:left w:type="dxa" w:w="110"/>
              <w:bottom w:type="dxa" w:w="70"/>
              <w:right w:type="dxa" w:w="110"/>
            </w:tcMar>
            <w:vAlign w:val="top"/>
          </w:tcPr>
          <w:p>
            <w:pPr>
              <w:spacing w:after="60" w:before="40" w:line="260"/>
              <w:jc w:val="both"/>
            </w:pPr>
            <w:r>
              <w:rPr>
                <w:rFonts w:ascii="Times New Roman" w:cs="Times New Roman" w:eastAsia="Times New Roman" w:hAnsi="Times New Roman"/>
                <w:b w:val="0"/>
                <w:bCs w:val="false"/>
                <w:i w:val="false"/>
                <w:iCs w:val="false"/>
                <w:sz w:val="22"/>
                <w:szCs w:val="22"/>
              </w:rPr>
              <w:t>Programming lab courses at CBIT run on email attachments, pen drives and manual compilation of student code on the lecturer's own machine, with no dependable control over a timed examination. LabSubmit is a secure laboratory examination platform that replaces this end to end: roll-number-gated registration, faculty-authored exams with a schedule and duration, an in-browser IDE that compiles on the server, and Secure Exam Mode — browser-level Exam Integrity Monitoring of fullscreen, focus, visibility and clipboard activity, backed by a server-authoritative timer, an automatic submission lock and a faculty integrity dashboard. A working platform is already built and deployed by the applicants. This project seeks support to raise it to production standard: sandboxed per-student execution, a formal integrity event severity model, similarity detection, load validation at full-section scale, and a supervised pilot leading to department-wide adoption.</w:t>
            </w:r>
          </w:p>
        </w:tc>
      </w:tr>
    </w:tbl>
    <w:p>
      <w:pPr>
        <w:spacing w:after="120" w:before="260" w:line="260"/>
      </w:pPr>
      <w:r>
        <w:rPr>
          <w:rFonts w:ascii="Times New Roman" w:cs="Times New Roman" w:eastAsia="Times New Roman" w:hAnsi="Times New Roman"/>
          <w:b/>
          <w:bCs/>
          <w:i w:val="false"/>
          <w:iCs w:val="false"/>
          <w:sz w:val="24"/>
          <w:szCs w:val="24"/>
        </w:rPr>
        <w:t xml:space="preserve">B.  Scientific / Technical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E8E8"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bCs/>
                <w:i w:val="false"/>
                <w:iCs w:val="false"/>
                <w:sz w:val="22"/>
                <w:szCs w:val="22"/>
              </w:rPr>
              <w:t xml:space="preserve">Introduction — Aim and Objectives  (Max 200 words)</w:t>
            </w:r>
          </w:p>
        </w:tc>
      </w:tr>
      <w:tr>
        <w:tc>
          <w:tcPr>
            <w:tcW w:type="dxa" w:w="9026"/>
            <w:tcMar>
              <w:top w:type="dxa" w:w="70"/>
              <w:left w:type="dxa" w:w="110"/>
              <w:bottom w:type="dxa" w:w="70"/>
              <w:right w:type="dxa" w:w="110"/>
            </w:tcMar>
            <w:vAlign w:val="top"/>
          </w:tcPr>
          <w:p>
            <w:pPr>
              <w:spacing w:after="60" w:before="40" w:line="260"/>
              <w:jc w:val="both"/>
            </w:pPr>
            <w:r>
              <w:rPr>
                <w:rFonts w:ascii="Times New Roman" w:cs="Times New Roman" w:eastAsia="Times New Roman" w:hAnsi="Times New Roman"/>
                <w:b w:val="0"/>
                <w:bCs w:val="false"/>
                <w:i w:val="false"/>
                <w:iCs w:val="false"/>
                <w:sz w:val="22"/>
                <w:szCs w:val="22"/>
              </w:rPr>
              <w:t>Every lab session requires faculty to issue coding tasks, verify that each submission compiles and runs, and record marks for every student. Today that work is split across email, pen drives and spreadsheets, and code is compiled manually. When the session is a graded examination the gap is wider still: nothing restricts the browser, nothing records suspicious activity, and a countdown that lives in the student's own tab cannot be relied upon.</w:t>
            </w:r>
          </w:p>
          <w:p>
            <w:pPr>
              <w:spacing w:after="60" w:before="40" w:line="260"/>
              <w:jc w:val="both"/>
            </w:pPr>
            <w:r>
              <w:rPr>
                <w:rFonts w:ascii="Times New Roman" w:cs="Times New Roman" w:eastAsia="Times New Roman" w:hAnsi="Times New Roman"/>
                <w:b/>
                <w:bCs w:val="false"/>
                <w:i w:val="false"/>
                <w:iCs w:val="false"/>
                <w:sz w:val="22"/>
                <w:szCs w:val="22"/>
              </w:rPr>
              <w:t>Aim: To harden and deploy a secure, self-hostable laboratory examination platform combining lab authoring, in-browser code execution, server-authoritative exam sessions, browser-level Exam Integrity Monitoring and structured evaluation.</w:t>
            </w:r>
          </w:p>
          <w:p>
            <w:pPr>
              <w:spacing w:after="60" w:before="40" w:line="260"/>
              <w:jc w:val="both"/>
            </w:pPr>
            <w:r>
              <w:rPr>
                <w:rFonts w:ascii="Times New Roman" w:cs="Times New Roman" w:eastAsia="Times New Roman" w:hAnsi="Times New Roman"/>
                <w:b/>
                <w:bCs w:val="false"/>
                <w:i w:val="false"/>
                <w:iCs w:val="false"/>
                <w:sz w:val="22"/>
                <w:szCs w:val="22"/>
              </w:rPr>
              <w:t>Objectives:</w:t>
            </w:r>
          </w:p>
          <w:p>
            <w:pPr>
              <w:spacing w:after="60" w:before="40" w:line="260"/>
              <w:jc w:val="both"/>
            </w:pPr>
            <w:r>
              <w:rPr>
                <w:rFonts w:ascii="Times New Roman" w:cs="Times New Roman" w:eastAsia="Times New Roman" w:hAnsi="Times New Roman"/>
                <w:b w:val="0"/>
                <w:bCs w:val="false"/>
                <w:i w:val="false"/>
                <w:iCs w:val="false"/>
                <w:sz w:val="22"/>
                <w:szCs w:val="22"/>
              </w:rPr>
              <w:t>1. Centralise lab authoring, examination, submission and grading for Administrators, Faculty and Students.</w:t>
            </w:r>
          </w:p>
          <w:p>
            <w:pPr>
              <w:spacing w:after="60" w:before="40" w:line="260"/>
              <w:jc w:val="both"/>
            </w:pPr>
            <w:r>
              <w:rPr>
                <w:rFonts w:ascii="Times New Roman" w:cs="Times New Roman" w:eastAsia="Times New Roman" w:hAnsi="Times New Roman"/>
                <w:b w:val="0"/>
                <w:bCs w:val="false"/>
                <w:i w:val="false"/>
                <w:iCs w:val="false"/>
                <w:sz w:val="22"/>
                <w:szCs w:val="22"/>
              </w:rPr>
              <w:t>2. Gate registration by Admin-authorised 12-digit roll-number ranges.</w:t>
            </w:r>
          </w:p>
          <w:p>
            <w:pPr>
              <w:spacing w:after="60" w:before="40" w:line="260"/>
              <w:jc w:val="both"/>
            </w:pPr>
            <w:r>
              <w:rPr>
                <w:rFonts w:ascii="Times New Roman" w:cs="Times New Roman" w:eastAsia="Times New Roman" w:hAnsi="Times New Roman"/>
                <w:b w:val="0"/>
                <w:bCs w:val="false"/>
                <w:i w:val="false"/>
                <w:iCs w:val="false"/>
                <w:sz w:val="22"/>
                <w:szCs w:val="22"/>
              </w:rPr>
              <w:t>3. Compile the languages a faculty permits for an exam inside a per-student, resource-limited server-side sandbox.</w:t>
            </w:r>
          </w:p>
          <w:p>
            <w:pPr>
              <w:spacing w:after="60" w:before="40" w:line="260"/>
              <w:jc w:val="both"/>
            </w:pPr>
            <w:r>
              <w:rPr>
                <w:rFonts w:ascii="Times New Roman" w:cs="Times New Roman" w:eastAsia="Times New Roman" w:hAnsi="Times New Roman"/>
                <w:b w:val="0"/>
                <w:bCs w:val="false"/>
                <w:i w:val="false"/>
                <w:iCs w:val="false"/>
                <w:sz w:val="22"/>
                <w:szCs w:val="22"/>
              </w:rPr>
              <w:t>4. Run every examination as a server-authoritative exam session, with the backend owning the timer, attempt state, authorisation and submission.</w:t>
            </w:r>
          </w:p>
          <w:p>
            <w:pPr>
              <w:spacing w:after="60" w:before="40" w:line="260"/>
              <w:jc w:val="both"/>
            </w:pPr>
            <w:r>
              <w:rPr>
                <w:rFonts w:ascii="Times New Roman" w:cs="Times New Roman" w:eastAsia="Times New Roman" w:hAnsi="Times New Roman"/>
                <w:b w:val="0"/>
                <w:bCs w:val="false"/>
                <w:i w:val="false"/>
                <w:iCs w:val="false"/>
                <w:sz w:val="22"/>
                <w:szCs w:val="22"/>
              </w:rPr>
              <w:t>5. Detect and record browser-level integrity events through Secure Exam Mode, and present them to faculty as a reviewable, timestamped timeline.</w:t>
            </w:r>
          </w:p>
          <w:p>
            <w:pPr>
              <w:spacing w:after="60" w:before="40" w:line="260"/>
              <w:jc w:val="both"/>
            </w:pPr>
            <w:r>
              <w:rPr>
                <w:rFonts w:ascii="Times New Roman" w:cs="Times New Roman" w:eastAsia="Times New Roman" w:hAnsi="Times New Roman"/>
                <w:b w:val="0"/>
                <w:bCs w:val="false"/>
                <w:i w:val="false"/>
                <w:iCs w:val="false"/>
                <w:sz w:val="22"/>
                <w:szCs w:val="22"/>
              </w:rPr>
              <w:t>6. Validate at full-section concurrent load and pilot in a live lab course.</w:t>
            </w:r>
          </w:p>
        </w:tc>
      </w:tr>
    </w:tbl>
    <w:p>
      <w:pPr>
        <w:spacing w:after="100" w:before="40" w:line="260"/>
      </w:pPr>
      <w:r>
        <w:rPr>
          <w:rFonts w:ascii="Times New Roman" w:cs="Times New Roman" w:eastAsia="Times New Roman" w:hAnsi="Times New Roman"/>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E8E8"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bCs/>
                <w:i w:val="false"/>
                <w:iCs w:val="false"/>
                <w:sz w:val="22"/>
                <w:szCs w:val="22"/>
              </w:rPr>
              <w:t xml:space="preserve">Methodology  (Max 300 words)</w:t>
            </w:r>
          </w:p>
        </w:tc>
      </w:tr>
      <w:tr>
        <w:tc>
          <w:tcPr>
            <w:tcW w:type="dxa" w:w="9026"/>
            <w:tcMar>
              <w:top w:type="dxa" w:w="70"/>
              <w:left w:type="dxa" w:w="110"/>
              <w:bottom w:type="dxa" w:w="70"/>
              <w:right w:type="dxa" w:w="110"/>
            </w:tcMar>
            <w:vAlign w:val="top"/>
          </w:tcPr>
          <w:p>
            <w:pPr>
              <w:spacing w:after="60" w:before="80" w:line="260"/>
              <w:jc w:val="both"/>
            </w:pPr>
            <w:r>
              <w:rPr>
                <w:rFonts w:ascii="Times New Roman" w:cs="Times New Roman" w:eastAsia="Times New Roman" w:hAnsi="Times New Roman"/>
                <w:b/>
                <w:bCs/>
                <w:i w:val="false"/>
                <w:iCs w:val="false"/>
                <w:sz w:val="22"/>
                <w:szCs w:val="22"/>
              </w:rPr>
              <w:t>Architecture. Next.js 14 with TypeScript and Tailwind, embedding the Monaco editor as a multi-file workspace; Next.js API routes with a Node.js WebSocket service; Prisma ORM over PostgreSQL. Signed JWT tokens govern access, every endpoint re-verifies the caller's role, and passwords are stored only as bcrypt hashes.</w:t>
            </w:r>
          </w:p>
          <w:p>
            <w:pPr>
              <w:spacing w:after="60" w:before="80" w:line="260"/>
              <w:jc w:val="both"/>
            </w:pPr>
            <w:r>
              <w:rPr>
                <w:rFonts w:ascii="Times New Roman" w:cs="Times New Roman" w:eastAsia="Times New Roman" w:hAnsi="Times New Roman"/>
                <w:b/>
                <w:bCs/>
                <w:i w:val="false"/>
                <w:iCs w:val="false"/>
                <w:sz w:val="22"/>
                <w:szCs w:val="22"/>
              </w:rPr>
              <w:t>Execution. Code never runs in the browser. The server verifies identity, workspace ownership and the exam window, then compiles inside a Docker container carrying GCC, G++, OpenJDK 17, Python 3 and Node.js. The present shared container is replaced by a per-student sandbox with CPU, memory and time limits.</w:t>
            </w:r>
          </w:p>
          <w:p>
            <w:pPr>
              <w:spacing w:after="60" w:before="80" w:line="260"/>
              <w:jc w:val="both"/>
            </w:pPr>
            <w:r>
              <w:rPr>
                <w:rFonts w:ascii="Times New Roman" w:cs="Times New Roman" w:eastAsia="Times New Roman" w:hAnsi="Times New Roman"/>
                <w:b/>
                <w:bCs/>
                <w:i w:val="false"/>
                <w:iCs w:val="false"/>
                <w:sz w:val="22"/>
                <w:szCs w:val="22"/>
              </w:rPr>
              <w:t>Secure Exam Mode. An examination runs as a server-authoritative exam session. The backend derives the deadline as the earlier of the exam's scheduled end time and the student's own start time plus the permitted duration, recomputes it on every protected request, and finalises an expired attempt itself. In the browser, Secure Exam Mode monitors fullscreen state, window focus and tab visibility, intercepts developer-tool shortcuts, and restricts copy, cut, paste, right-click and drag-and-drop according to the settings chosen for that exam.</w:t>
            </w:r>
          </w:p>
          <w:p>
            <w:pPr>
              <w:spacing w:after="60" w:before="80" w:line="260"/>
              <w:jc w:val="both"/>
            </w:pPr>
            <w:r>
              <w:rPr>
                <w:rFonts w:ascii="Times New Roman" w:cs="Times New Roman" w:eastAsia="Times New Roman" w:hAnsi="Times New Roman"/>
                <w:b/>
                <w:bCs/>
                <w:i w:val="false"/>
                <w:iCs w:val="false"/>
                <w:sz w:val="22"/>
                <w:szCs w:val="22"/>
              </w:rPr>
              <w:t>Integrity. Each detected event is debounced in the client, deduplicated server-side and stored with its type and timestamp against the student's attempt. Crossing a faculty-set fullscreen-exit threshold auto-submits the attempt. Faculty review the events as a per-student timeline beside the submission, supplemented by token-level similarity comparison across a section, with a language model explaining flagged pairs and drafting remarks. No mark is assigned automatically and no event is treated as proof of misconduct.</w:t>
            </w:r>
          </w:p>
          <w:p>
            <w:pPr>
              <w:spacing w:after="60" w:before="80" w:line="260"/>
              <w:jc w:val="both"/>
            </w:pPr>
            <w:r>
              <w:rPr>
                <w:rFonts w:ascii="Times New Roman" w:cs="Times New Roman" w:eastAsia="Times New Roman" w:hAnsi="Times New Roman"/>
                <w:b/>
                <w:bCs/>
                <w:i w:val="false"/>
                <w:iCs w:val="false"/>
                <w:sz w:val="22"/>
                <w:szCs w:val="22"/>
              </w:rPr>
              <w:t>Validation. Modules are unit- and integration-tested, then load-tested at 60 and 300 concurrent compilations. The Docker image runs unchanged on cloud hosting or a college virtual machine, and a supervised pilot precedes any rollout.</w:t>
            </w:r>
          </w:p>
        </w:tc>
      </w:tr>
    </w:tbl>
    <w:p>
      <w:pPr>
        <w:spacing w:after="100" w:before="40" w:line="260"/>
      </w:pPr>
      <w:r>
        <w:rPr>
          <w:rFonts w:ascii="Times New Roman" w:cs="Times New Roman" w:eastAsia="Times New Roman" w:hAnsi="Times New Roman"/>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E8E8"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bCs/>
                <w:i w:val="false"/>
                <w:iCs w:val="false"/>
                <w:sz w:val="22"/>
                <w:szCs w:val="22"/>
              </w:rPr>
              <w:t xml:space="preserve">Summary of the work to be carried out (about 200 words)</w:t>
            </w:r>
          </w:p>
        </w:tc>
      </w:tr>
      <w:tr>
        <w:tc>
          <w:tcPr>
            <w:tcW w:type="dxa" w:w="9026"/>
            <w:tcMar>
              <w:top w:type="dxa" w:w="70"/>
              <w:left w:type="dxa" w:w="110"/>
              <w:bottom w:type="dxa" w:w="70"/>
              <w:right w:type="dxa" w:w="110"/>
            </w:tcMar>
            <w:vAlign w:val="top"/>
          </w:tcPr>
          <w:p>
            <w:pPr>
              <w:spacing w:after="60" w:before="60" w:line="260"/>
              <w:jc w:val="both"/>
            </w:pPr>
            <w:r>
              <w:rPr>
                <w:rFonts w:ascii="Times New Roman" w:cs="Times New Roman" w:eastAsia="Times New Roman" w:hAnsi="Times New Roman"/>
                <w:b/>
                <w:bCs/>
                <w:i w:val="false"/>
                <w:iCs w:val="false"/>
                <w:sz w:val="22"/>
                <w:szCs w:val="22"/>
              </w:rPr>
              <w:t>Production hardening. Per-student execution sandboxes with CPU, memory and process limits, an execution queue, and failure alerts during live sessions.</w:t>
            </w:r>
          </w:p>
          <w:p>
            <w:pPr>
              <w:spacing w:after="60" w:before="60" w:line="260"/>
              <w:jc w:val="both"/>
            </w:pPr>
            <w:r>
              <w:rPr>
                <w:rFonts w:ascii="Times New Roman" w:cs="Times New Roman" w:eastAsia="Times New Roman" w:hAnsi="Times New Roman"/>
                <w:b/>
                <w:bCs/>
                <w:i w:val="false"/>
                <w:iCs w:val="false"/>
                <w:sz w:val="22"/>
                <w:szCs w:val="22"/>
              </w:rPr>
              <w:t>Secure Exam Integrity Subsystem. A formal integrity event severity model (Low, Medium, High, Critical); event recording extended to clipboard and context-menu attempts, repeated focus loss, duplicate exam sessions and refused backend requests; and a faculty integrity dashboard presenting per-attempt timelines with exportable reports.</w:t>
            </w:r>
          </w:p>
          <w:p>
            <w:pPr>
              <w:spacing w:after="60" w:before="60" w:line="260"/>
              <w:jc w:val="both"/>
            </w:pPr>
            <w:r>
              <w:rPr>
                <w:rFonts w:ascii="Times New Roman" w:cs="Times New Roman" w:eastAsia="Times New Roman" w:hAnsi="Times New Roman"/>
                <w:b/>
                <w:bCs/>
                <w:i w:val="false"/>
                <w:iCs w:val="false"/>
                <w:sz w:val="22"/>
                <w:szCs w:val="22"/>
              </w:rPr>
              <w:t>Similarity module. Structural similarity comparison across a section, with AI-drafted explanations and remarks that faculty accept, edit or discard.</w:t>
            </w:r>
          </w:p>
          <w:p>
            <w:pPr>
              <w:spacing w:after="60" w:before="60" w:line="260"/>
              <w:jc w:val="both"/>
            </w:pPr>
            <w:r>
              <w:rPr>
                <w:rFonts w:ascii="Times New Roman" w:cs="Times New Roman" w:eastAsia="Times New Roman" w:hAnsi="Times New Roman"/>
                <w:b/>
                <w:bCs/>
                <w:i w:val="false"/>
                <w:iCs w:val="false"/>
                <w:sz w:val="22"/>
                <w:szCs w:val="22"/>
              </w:rPr>
              <w:t>Faculty tooling. Test cases and reference solutions per lab, batch execution of a section, mark-sheet export and accreditation reports.</w:t>
            </w:r>
          </w:p>
          <w:p>
            <w:pPr>
              <w:spacing w:after="60" w:before="60" w:line="260"/>
              <w:jc w:val="both"/>
            </w:pPr>
            <w:r>
              <w:rPr>
                <w:rFonts w:ascii="Times New Roman" w:cs="Times New Roman" w:eastAsia="Times New Roman" w:hAnsi="Times New Roman"/>
                <w:b/>
                <w:bCs/>
                <w:i w:val="false"/>
                <w:iCs w:val="false"/>
                <w:sz w:val="22"/>
                <w:szCs w:val="22"/>
              </w:rPr>
              <w:t>Validation and rollout. Load testing at 60 and 300 concurrent compilations, a supervised pilot in one lab course, then expansion on faculty feedback.</w:t>
            </w:r>
          </w:p>
          <w:p>
            <w:pPr>
              <w:spacing w:after="60" w:before="60" w:line="260"/>
              <w:jc w:val="both"/>
            </w:pPr>
            <w:r>
              <w:rPr>
                <w:rFonts w:ascii="Times New Roman" w:cs="Times New Roman" w:eastAsia="Times New Roman" w:hAnsi="Times New Roman"/>
                <w:b/>
                <w:bCs/>
                <w:i w:val="false"/>
                <w:iCs w:val="false"/>
                <w:sz w:val="22"/>
                <w:szCs w:val="22"/>
              </w:rPr>
              <w:t>Handover. Source code, schema, deployment guide and administrator manual delivered to the Department, so later project batches can maintain it.</w:t>
            </w:r>
          </w:p>
        </w:tc>
      </w:tr>
    </w:tbl>
    <w:p>
      <w:pPr>
        <w:spacing w:after="100" w:before="40" w:line="260"/>
      </w:pPr>
      <w:r>
        <w:rPr>
          <w:rFonts w:ascii="Times New Roman" w:cs="Times New Roman" w:eastAsia="Times New Roman" w:hAnsi="Times New Roman"/>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E8E8"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4.  </w:t>
            </w:r>
            <w:r>
              <w:rPr>
                <w:rFonts w:ascii="Times New Roman" w:cs="Times New Roman" w:eastAsia="Times New Roman" w:hAnsi="Times New Roman"/>
                <w:b/>
                <w:bCs/>
                <w:i w:val="false"/>
                <w:iCs w:val="false"/>
                <w:sz w:val="22"/>
                <w:szCs w:val="22"/>
              </w:rPr>
              <w:t xml:space="preserve">Expected outcomes of the Proposal</w:t>
            </w:r>
          </w:p>
        </w:tc>
      </w:tr>
      <w:tr>
        <w:tc>
          <w:tcPr>
            <w:tcW w:type="dxa" w:w="9026"/>
            <w:tcMar>
              <w:top w:type="dxa" w:w="70"/>
              <w:left w:type="dxa" w:w="110"/>
              <w:bottom w:type="dxa" w:w="70"/>
              <w:right w:type="dxa" w:w="110"/>
            </w:tcMar>
            <w:vAlign w:val="top"/>
          </w:tcPr>
          <w:p>
            <w:pPr>
              <w:spacing w:after="40" w:before="20" w:line="250"/>
              <w:ind w:left="340" w:hanging="200"/>
            </w:pPr>
            <w:r>
              <w:rPr>
                <w:rFonts w:ascii="Times New Roman" w:cs="Times New Roman" w:eastAsia="Times New Roman" w:hAnsi="Times New Roman"/>
                <w:b w:val="0"/>
                <w:bCs w:val="false"/>
                <w:i w:val="false"/>
                <w:iCs w:val="false"/>
                <w:sz w:val="22"/>
                <w:szCs w:val="22"/>
              </w:rPr>
              <w:t>•  A production-ready, self-hostable laboratory examination platform in departmental use, built entirely on open-source components with no licence cost.</w:t>
            </w:r>
          </w:p>
          <w:p>
            <w:pPr>
              <w:spacing w:after="40" w:before="20" w:line="250"/>
              <w:ind w:left="340" w:hanging="200"/>
            </w:pPr>
            <w:r>
              <w:rPr>
                <w:rFonts w:ascii="Times New Roman" w:cs="Times New Roman" w:eastAsia="Times New Roman" w:hAnsi="Times New Roman"/>
                <w:b w:val="0"/>
                <w:bCs w:val="false"/>
                <w:i w:val="false"/>
                <w:iCs w:val="false"/>
                <w:sz w:val="22"/>
                <w:szCs w:val="22"/>
              </w:rPr>
              <w:t>•  Pen-drive and email submission handling, and manual compilation of student code by faculty, eliminated.</w:t>
            </w:r>
          </w:p>
          <w:p>
            <w:pPr>
              <w:spacing w:after="40" w:before="20" w:line="250"/>
              <w:ind w:left="340" w:hanging="200"/>
            </w:pPr>
            <w:r>
              <w:rPr>
                <w:rFonts w:ascii="Times New Roman" w:cs="Times New Roman" w:eastAsia="Times New Roman" w:hAnsi="Times New Roman"/>
                <w:b w:val="0"/>
                <w:bCs w:val="false"/>
                <w:i w:val="false"/>
                <w:iCs w:val="false"/>
                <w:sz w:val="22"/>
                <w:szCs w:val="22"/>
              </w:rPr>
              <w:t>•  Every examination run as a server-authoritative exam session, with the timer, attempt state, authorisation and submission held by the backend rather than the browser.</w:t>
            </w:r>
          </w:p>
          <w:p>
            <w:pPr>
              <w:spacing w:after="40" w:before="20" w:line="250"/>
              <w:ind w:left="340" w:hanging="200"/>
            </w:pPr>
            <w:r>
              <w:rPr>
                <w:rFonts w:ascii="Times New Roman" w:cs="Times New Roman" w:eastAsia="Times New Roman" w:hAnsi="Times New Roman"/>
                <w:b w:val="0"/>
                <w:bCs w:val="false"/>
                <w:i w:val="false"/>
                <w:iCs w:val="false"/>
                <w:sz w:val="22"/>
                <w:szCs w:val="22"/>
              </w:rPr>
              <w:t>•  A complete, timestamped integrity event record for every attempt, reviewable by faculty as evidence rather than as an automated verdict.</w:t>
            </w:r>
          </w:p>
          <w:p>
            <w:pPr>
              <w:spacing w:after="40" w:before="20" w:line="250"/>
              <w:ind w:left="340" w:hanging="200"/>
            </w:pPr>
            <w:r>
              <w:rPr>
                <w:rFonts w:ascii="Times New Roman" w:cs="Times New Roman" w:eastAsia="Times New Roman" w:hAnsi="Times New Roman"/>
                <w:b w:val="0"/>
                <w:bCs w:val="false"/>
                <w:i w:val="false"/>
                <w:iCs w:val="false"/>
                <w:sz w:val="22"/>
                <w:szCs w:val="22"/>
              </w:rPr>
              <w:t>•  Sandboxed execution with measured, documented behaviour at 60 and 300 concurrent compilations.</w:t>
            </w:r>
          </w:p>
          <w:p>
            <w:pPr>
              <w:spacing w:after="40" w:before="20" w:line="250"/>
              <w:ind w:left="340" w:hanging="200"/>
            </w:pPr>
            <w:r>
              <w:rPr>
                <w:rFonts w:ascii="Times New Roman" w:cs="Times New Roman" w:eastAsia="Times New Roman" w:hAnsi="Times New Roman"/>
                <w:b w:val="0"/>
                <w:bCs w:val="false"/>
                <w:i w:val="false"/>
                <w:iCs w:val="false"/>
                <w:sz w:val="22"/>
                <w:szCs w:val="22"/>
              </w:rPr>
              <w:t>•  A similarity report for every lab, plus consistent marks, remarks and an auditable submission trail across sections.</w:t>
            </w:r>
          </w:p>
          <w:p>
            <w:pPr>
              <w:spacing w:after="40" w:before="20" w:line="250"/>
              <w:ind w:left="340" w:hanging="200"/>
            </w:pPr>
            <w:r>
              <w:rPr>
                <w:rFonts w:ascii="Times New Roman" w:cs="Times New Roman" w:eastAsia="Times New Roman" w:hAnsi="Times New Roman"/>
                <w:b w:val="0"/>
                <w:bCs w:val="false"/>
                <w:i w:val="false"/>
                <w:iCs w:val="false"/>
                <w:sz w:val="22"/>
                <w:szCs w:val="22"/>
              </w:rPr>
              <w:t>•  Exportable data for NBA / NAAC outcome-based reporting, and a full handover package transferring ownership to the Department.</w:t>
            </w:r>
          </w:p>
          <w:p>
            <w:pPr>
              <w:spacing w:after="40" w:before="20" w:line="250"/>
              <w:ind w:left="340" w:hanging="200"/>
            </w:pPr>
            <w:r>
              <w:rPr>
                <w:rFonts w:ascii="Times New Roman" w:cs="Times New Roman" w:eastAsia="Times New Roman" w:hAnsi="Times New Roman"/>
                <w:b w:val="0"/>
                <w:bCs w:val="false"/>
                <w:i w:val="false"/>
                <w:iCs w:val="false"/>
                <w:sz w:val="22"/>
                <w:szCs w:val="22"/>
              </w:rPr>
              <w:t>•  A specified, costed design for a LabSubmit Secure Exam Client providing operating-system-level lockdown — deliverable as a proposal for a following phase, not as part of this one.</w:t>
            </w:r>
          </w:p>
        </w:tc>
      </w:tr>
    </w:tbl>
    <w:p>
      <w:pPr>
        <w:spacing w:after="100" w:before="40" w:line="260"/>
      </w:pPr>
      <w:r>
        <w:rPr>
          <w:rFonts w:ascii="Times New Roman" w:cs="Times New Roman" w:eastAsia="Times New Roman" w:hAnsi="Times New Roman"/>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E8E8"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5.  </w:t>
            </w:r>
            <w:r>
              <w:rPr>
                <w:rFonts w:ascii="Times New Roman" w:cs="Times New Roman" w:eastAsia="Times New Roman" w:hAnsi="Times New Roman"/>
                <w:b/>
                <w:bCs/>
                <w:i w:val="false"/>
                <w:iCs w:val="false"/>
                <w:sz w:val="22"/>
                <w:szCs w:val="22"/>
              </w:rPr>
              <w:t xml:space="preserve">Work plan / PERT chart</w:t>
            </w:r>
          </w:p>
        </w:tc>
      </w:tr>
      <w:tr>
        <w:tc>
          <w:tcPr>
            <w:tcW w:type="dxa" w:w="9026"/>
            <w:tcMar>
              <w:top w:type="dxa" w:w="70"/>
              <w:left w:type="dxa" w:w="110"/>
              <w:bottom w:type="dxa" w:w="70"/>
              <w:right w:type="dxa" w:w="110"/>
            </w:tcMar>
            <w:vAlign w:val="top"/>
          </w:tcPr>
          <w:p>
            <w:pPr>
              <w:spacing w:after="120" w:before="40" w:line="260"/>
            </w:pPr>
            <w:r>
              <w:rPr>
                <w:rFonts w:ascii="Times New Roman" w:cs="Times New Roman" w:eastAsia="Times New Roman" w:hAnsi="Times New Roman"/>
                <w:b w:val="false"/>
                <w:bCs w:val="false"/>
                <w:i w:val="false"/>
                <w:iCs w:val="false"/>
                <w:sz w:val="22"/>
                <w:szCs w:val="22"/>
              </w:rPr>
              <w:t>Twelve months in five phases; P3 overlaps P2 by one month, once the sandbox is functional. The Secure Exam Client is deliberately outside this plan and is described in the annexure as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1140"/>
              <w:gridCol w:w="3386"/>
            </w:tblGrid>
            <w:tr>
              <w:trPr>
                <w:tblHeader/>
              </w:trPr>
              <w:tc>
                <w:tcPr>
                  <w:tcW w:type="dxa" w:w="8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Phase</w:t>
                  </w:r>
                </w:p>
              </w:tc>
              <w:tc>
                <w:tcPr>
                  <w:tcW w:type="dxa" w:w="3700"/>
                  <w:shd w:fill="D6D6D6"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Activity</w:t>
                  </w:r>
                </w:p>
              </w:tc>
              <w:tc>
                <w:tcPr>
                  <w:tcW w:type="dxa" w:w="114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Timeline</w:t>
                  </w:r>
                </w:p>
              </w:tc>
              <w:tc>
                <w:tcPr>
                  <w:tcW w:type="dxa" w:w="3386"/>
                  <w:shd w:fill="D6D6D6"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Deliverable</w:t>
                  </w:r>
                </w:p>
              </w:tc>
            </w:tr>
            <w:tr>
              <w:tc>
                <w:tcPr>
                  <w:tcW w:type="dxa" w:w="8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P1</w:t>
                  </w:r>
                </w:p>
              </w:tc>
              <w:tc>
                <w:tcPr>
                  <w:tcW w:type="dxa" w:w="37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Requirement study with lab faculty; finalise evaluation rubric, roles and pilot scope.</w:t>
                  </w:r>
                </w:p>
              </w:tc>
              <w:tc>
                <w:tcPr>
                  <w:tcW w:type="dxa" w:w="114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M1 – M2</w:t>
                  </w:r>
                </w:p>
              </w:tc>
              <w:tc>
                <w:tcPr>
                  <w:tcW w:type="dxa" w:w="338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Requirement and rubric document</w:t>
                  </w:r>
                </w:p>
              </w:tc>
            </w:tr>
            <w:tr>
              <w:tc>
                <w:tcPr>
                  <w:tcW w:type="dxa" w:w="8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P2</w:t>
                  </w:r>
                </w:p>
              </w:tc>
              <w:tc>
                <w:tcPr>
                  <w:tcW w:type="dxa" w:w="37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Execution-engine hardening: per-student sandbox with CPU / memory / time limits and execution queue.</w:t>
                  </w:r>
                </w:p>
              </w:tc>
              <w:tc>
                <w:tcPr>
                  <w:tcW w:type="dxa" w:w="114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M2 – M5</w:t>
                  </w:r>
                </w:p>
              </w:tc>
              <w:tc>
                <w:tcPr>
                  <w:tcW w:type="dxa" w:w="338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Isolated execution engine</w:t>
                  </w:r>
                </w:p>
              </w:tc>
            </w:tr>
            <w:tr>
              <w:tc>
                <w:tcPr>
                  <w:tcW w:type="dxa" w:w="8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P3</w:t>
                  </w:r>
                </w:p>
              </w:tc>
              <w:tc>
                <w:tcPr>
                  <w:tcW w:type="dxa" w:w="37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Secure Exam Integrity Subsystem and faculty tooling: severity model, integrity dashboard, similarity engine, test cases, mark-sheet export.</w:t>
                  </w:r>
                </w:p>
              </w:tc>
              <w:tc>
                <w:tcPr>
                  <w:tcW w:type="dxa" w:w="114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M4 – M7</w:t>
                  </w:r>
                </w:p>
              </w:tc>
              <w:tc>
                <w:tcPr>
                  <w:tcW w:type="dxa" w:w="338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Integrity subsystem and evaluation suite</w:t>
                  </w:r>
                </w:p>
              </w:tc>
            </w:tr>
            <w:tr>
              <w:tc>
                <w:tcPr>
                  <w:tcW w:type="dxa" w:w="8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P4</w:t>
                  </w:r>
                </w:p>
              </w:tc>
              <w:tc>
                <w:tcPr>
                  <w:tcW w:type="dxa" w:w="37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Load and security testing at 60 and 300 concurrent compilations; role-boundary checks.</w:t>
                  </w:r>
                </w:p>
              </w:tc>
              <w:tc>
                <w:tcPr>
                  <w:tcW w:type="dxa" w:w="114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M7 – M9</w:t>
                  </w:r>
                </w:p>
              </w:tc>
              <w:tc>
                <w:tcPr>
                  <w:tcW w:type="dxa" w:w="338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Load and security test report</w:t>
                  </w:r>
                </w:p>
              </w:tc>
            </w:tr>
            <w:tr>
              <w:tc>
                <w:tcPr>
                  <w:tcW w:type="dxa" w:w="80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P5</w:t>
                  </w:r>
                </w:p>
              </w:tc>
              <w:tc>
                <w:tcPr>
                  <w:tcW w:type="dxa" w:w="37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Supervised pilot, department-wide rollout, documentation and handover.</w:t>
                  </w:r>
                </w:p>
              </w:tc>
              <w:tc>
                <w:tcPr>
                  <w:tcW w:type="dxa" w:w="114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M9 – M12</w:t>
                  </w:r>
                </w:p>
              </w:tc>
              <w:tc>
                <w:tcPr>
                  <w:tcW w:type="dxa" w:w="338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 xml:space="preserve">Deployed platform + handover kit</w:t>
                  </w:r>
                </w:p>
              </w:tc>
            </w:tr>
          </w:tbl>
          <w:p>
            <w:pPr>
              <w:spacing w:after="40" w:before="180" w:line="260"/>
            </w:pPr>
            <w:r>
              <w:rPr>
                <w:rFonts w:ascii="Times New Roman" w:cs="Times New Roman" w:eastAsia="Times New Roman" w:hAnsi="Times New Roman"/>
                <w:b/>
                <w:bCs/>
                <w:i w:val="false"/>
                <w:iCs w:val="false"/>
                <w:sz w:val="22"/>
                <w:szCs w:val="22"/>
              </w:rPr>
              <w:t xml:space="preserve">PERT sequence:  </w:t>
            </w:r>
            <w:r>
              <w:rPr>
                <w:rFonts w:ascii="Times New Roman" w:cs="Times New Roman" w:eastAsia="Times New Roman" w:hAnsi="Times New Roman"/>
                <w:b/>
                <w:bCs/>
                <w:i w:val="false"/>
                <w:iCs w:val="false"/>
                <w:sz w:val="22"/>
                <w:szCs w:val="22"/>
              </w:rPr>
              <w:t xml:space="preserve">P1 → P2 → P3 → P4 → P5</w:t>
            </w:r>
          </w:p>
          <w:p>
            <w:pPr>
              <w:spacing w:after="160" w:before="40" w:line="260"/>
            </w:pPr>
            <w:r>
              <w:rPr>
                <w:rFonts w:ascii="Times New Roman" w:cs="Times New Roman" w:eastAsia="Times New Roman" w:hAnsi="Times New Roman"/>
                <w:b w:val="false"/>
                <w:bCs w:val="false"/>
                <w:i/>
                <w:iCs/>
                <w:sz w:val="21"/>
                <w:szCs w:val="21"/>
              </w:rPr>
              <w:t xml:space="preserve">Critical path runs through all five phases (12 months); P3 carries one month of float.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600"/>
              <w:gridCol w:w="600"/>
              <w:gridCol w:w="600"/>
              <w:gridCol w:w="600"/>
              <w:gridCol w:w="600"/>
              <w:gridCol w:w="600"/>
              <w:gridCol w:w="600"/>
              <w:gridCol w:w="600"/>
              <w:gridCol w:w="600"/>
              <w:gridCol w:w="600"/>
              <w:gridCol w:w="600"/>
              <w:gridCol w:w="600"/>
            </w:tblGrid>
            <w:tr>
              <w:trPr>
                <w:tblHeader/>
              </w:trPr>
              <w:tc>
                <w:tcPr>
                  <w:tcW w:type="dxa" w:w="1826"/>
                  <w:shd w:fill="D6D6D6"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0"/>
                      <w:szCs w:val="20"/>
                    </w:rPr>
                    <w:t xml:space="preserve">Phase</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M1</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M2</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M3</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M4</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M5</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M6</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M7</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M8</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M9</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M10</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M11</w:t>
                  </w:r>
                </w:p>
              </w:tc>
              <w:tc>
                <w:tcPr>
                  <w:tcW w:type="dxa" w:w="6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18"/>
                      <w:szCs w:val="18"/>
                    </w:rPr>
                    <w:t xml:space="preserve">M12</w:t>
                  </w:r>
                </w:p>
              </w:tc>
            </w:tr>
            <w:tr>
              <w:tc>
                <w:tcPr>
                  <w:tcW w:type="dxa" w:w="182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0"/>
                      <w:szCs w:val="20"/>
                    </w:rPr>
                    <w:t xml:space="preserve">P1</w:t>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r>
            <w:tr>
              <w:tc>
                <w:tcPr>
                  <w:tcW w:type="dxa" w:w="182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0"/>
                      <w:szCs w:val="20"/>
                    </w:rPr>
                    <w:t xml:space="preserve">P2</w:t>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r>
            <w:tr>
              <w:tc>
                <w:tcPr>
                  <w:tcW w:type="dxa" w:w="182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0"/>
                      <w:szCs w:val="20"/>
                    </w:rPr>
                    <w:t xml:space="preserve">P3</w:t>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r>
            <w:tr>
              <w:tc>
                <w:tcPr>
                  <w:tcW w:type="dxa" w:w="182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0"/>
                      <w:szCs w:val="20"/>
                    </w:rPr>
                    <w:t xml:space="preserve">P4</w:t>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r>
            <w:tr>
              <w:tc>
                <w:tcPr>
                  <w:tcW w:type="dxa" w:w="182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0"/>
                      <w:szCs w:val="20"/>
                    </w:rPr>
                    <w:t xml:space="preserve">P5</w:t>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c>
                <w:tcPr>
                  <w:tcW w:type="dxa" w:w="600"/>
                  <w:shd w:fill="4A4A4A"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18"/>
                      <w:szCs w:val="18"/>
                    </w:rPr>
                    <w:t xml:space="preserve"/>
                  </w:r>
                </w:p>
              </w:tc>
            </w:tr>
          </w:tbl>
          <w:p/>
        </w:tc>
      </w:tr>
    </w:tbl>
    <w:p>
      <w:pPr>
        <w:spacing w:after="100" w:before="40" w:line="260"/>
      </w:pPr>
      <w:r>
        <w:rPr>
          <w:rFonts w:ascii="Times New Roman" w:cs="Times New Roman" w:eastAsia="Times New Roman" w:hAnsi="Times New Roman"/>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E8E8"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2"/>
                <w:szCs w:val="22"/>
              </w:rPr>
              <w:t xml:space="preserve">6.  </w:t>
            </w:r>
            <w:r>
              <w:rPr>
                <w:rFonts w:ascii="Times New Roman" w:cs="Times New Roman" w:eastAsia="Times New Roman" w:hAnsi="Times New Roman"/>
                <w:b/>
                <w:bCs/>
                <w:i w:val="false"/>
                <w:iCs w:val="false"/>
                <w:sz w:val="22"/>
                <w:szCs w:val="22"/>
              </w:rPr>
              <w:t xml:space="preserve">Proposed Budget Details: Equipment, Consumables, if any</w:t>
            </w:r>
          </w:p>
        </w:tc>
      </w:tr>
      <w:tr>
        <w:tc>
          <w:tcPr>
            <w:tcW w:type="dxa" w:w="9026"/>
            <w:tcMar>
              <w:top w:type="dxa" w:w="70"/>
              <w:left w:type="dxa" w:w="110"/>
              <w:bottom w:type="dxa" w:w="70"/>
              <w:right w:type="dxa" w:w="110"/>
            </w:tcMar>
            <w:vAlign w:val="top"/>
          </w:tcPr>
          <w:p>
            <w:pPr>
              <w:spacing w:after="120" w:before="40" w:line="260"/>
            </w:pPr>
            <w:r>
              <w:rPr>
                <w:rFonts w:ascii="Times New Roman" w:cs="Times New Roman" w:eastAsia="Times New Roman" w:hAnsi="Times New Roman"/>
                <w:b w:val="false"/>
                <w:bCs w:val="false"/>
                <w:i/>
                <w:iCs/>
                <w:sz w:val="21"/>
                <w:szCs w:val="21"/>
              </w:rPr>
              <w:t xml:space="preserve">All figures in Indian Rupees for a 12-month duration. Cloud pricing is usage-based and may vary by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4106"/>
              <w:gridCol w:w="1800"/>
            </w:tblGrid>
            <w:tr>
              <w:trPr>
                <w:tblHeader/>
              </w:trPr>
              <w:tc>
                <w:tcPr>
                  <w:tcW w:type="dxa" w:w="52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No.</w:t>
                  </w:r>
                </w:p>
              </w:tc>
              <w:tc>
                <w:tcPr>
                  <w:tcW w:type="dxa" w:w="2600"/>
                  <w:shd w:fill="D6D6D6"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Budget head</w:t>
                  </w:r>
                </w:p>
              </w:tc>
              <w:tc>
                <w:tcPr>
                  <w:tcW w:type="dxa" w:w="4106"/>
                  <w:shd w:fill="D6D6D6" w:color="auto" w:val="clear"/>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Basis / justification</w:t>
                  </w:r>
                </w:p>
              </w:tc>
              <w:tc>
                <w:tcPr>
                  <w:tcW w:type="dxa" w:w="1800"/>
                  <w:shd w:fill="D6D6D6" w:color="auto" w:val="clear"/>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bCs/>
                      <w:i w:val="false"/>
                      <w:iCs w:val="false"/>
                      <w:sz w:val="21"/>
                      <w:szCs w:val="21"/>
                    </w:rPr>
                    <w:t xml:space="preserve">Amount (₹)</w:t>
                  </w:r>
                </w:p>
              </w:tc>
            </w:tr>
            <w:tr>
              <w:tc>
                <w:tcPr>
                  <w:tcW w:type="dxa" w:w="52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1</w:t>
                  </w:r>
                </w:p>
              </w:tc>
              <w:tc>
                <w:tcPr>
                  <w:tcW w:type="dxa" w:w="2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Application hosting (web + API)</w:t>
                  </w:r>
                </w:p>
              </w:tc>
              <w:tc>
                <w:tcPr>
                  <w:tcW w:type="dxa" w:w="410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Vercel Pro, 1 seat — ₹1,900/month × 6 active academic months.</w:t>
                  </w:r>
                </w:p>
              </w:tc>
              <w:tc>
                <w:tcPr>
                  <w:tcW w:type="dxa" w:w="1800"/>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val="false"/>
                      <w:bCs w:val="false"/>
                      <w:i w:val="false"/>
                      <w:iCs w:val="false"/>
                      <w:sz w:val="21"/>
                      <w:szCs w:val="21"/>
                    </w:rPr>
                    <w:t>11,400</w:t>
                  </w:r>
                </w:p>
              </w:tc>
            </w:tr>
            <w:tr>
              <w:tc>
                <w:tcPr>
                  <w:tcW w:type="dxa" w:w="52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2</w:t>
                  </w:r>
                </w:p>
              </w:tc>
              <w:tc>
                <w:tcPr>
                  <w:tcW w:type="dxa" w:w="2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Execution engine + database</w:t>
                  </w:r>
                </w:p>
              </w:tc>
              <w:tc>
                <w:tcPr>
                  <w:tcW w:type="dxa" w:w="410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Always-on container with GCC, G++, OpenJDK 17, Python 3, Node.js and managed PostgreSQL — ~₹1,900/month × 12.</w:t>
                  </w:r>
                </w:p>
              </w:tc>
              <w:tc>
                <w:tcPr>
                  <w:tcW w:type="dxa" w:w="1800"/>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val="false"/>
                      <w:bCs w:val="false"/>
                      <w:i w:val="false"/>
                      <w:iCs w:val="false"/>
                      <w:sz w:val="21"/>
                      <w:szCs w:val="21"/>
                    </w:rPr>
                    <w:t>22,800</w:t>
                  </w:r>
                </w:p>
              </w:tc>
            </w:tr>
            <w:tr>
              <w:tc>
                <w:tcPr>
                  <w:tcW w:type="dxa" w:w="52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3</w:t>
                  </w:r>
                </w:p>
              </w:tc>
              <w:tc>
                <w:tcPr>
                  <w:tcW w:type="dxa" w:w="2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AI / LLM API services</w:t>
                  </w:r>
                </w:p>
              </w:tc>
              <w:tc>
                <w:tcPr>
                  <w:tcW w:type="dxa" w:w="410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Similarity explanation, feedback drafting and test-case generation — metered credits, ~₹750/month × 12.</w:t>
                  </w:r>
                </w:p>
              </w:tc>
              <w:tc>
                <w:tcPr>
                  <w:tcW w:type="dxa" w:w="1800"/>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val="false"/>
                      <w:bCs w:val="false"/>
                      <w:i w:val="false"/>
                      <w:iCs w:val="false"/>
                      <w:sz w:val="21"/>
                      <w:szCs w:val="21"/>
                    </w:rPr>
                    <w:t>9,000</w:t>
                  </w:r>
                </w:p>
              </w:tc>
            </w:tr>
            <w:tr>
              <w:tc>
                <w:tcPr>
                  <w:tcW w:type="dxa" w:w="52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4</w:t>
                  </w:r>
                </w:p>
              </w:tc>
              <w:tc>
                <w:tcPr>
                  <w:tcW w:type="dxa" w:w="2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Backups, monitoring, load testing</w:t>
                  </w:r>
                </w:p>
              </w:tc>
              <w:tc>
                <w:tcPr>
                  <w:tcW w:type="dxa" w:w="410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Nightly snapshots with 30-day retention, uptime alerting, and staging resources for concurrency trials.</w:t>
                  </w:r>
                </w:p>
              </w:tc>
              <w:tc>
                <w:tcPr>
                  <w:tcW w:type="dxa" w:w="1800"/>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val="false"/>
                      <w:bCs w:val="false"/>
                      <w:i w:val="false"/>
                      <w:iCs w:val="false"/>
                      <w:sz w:val="21"/>
                      <w:szCs w:val="21"/>
                    </w:rPr>
                    <w:t>6,000</w:t>
                  </w:r>
                </w:p>
              </w:tc>
            </w:tr>
            <w:tr>
              <w:tc>
                <w:tcPr>
                  <w:tcW w:type="dxa" w:w="52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5</w:t>
                  </w:r>
                </w:p>
              </w:tc>
              <w:tc>
                <w:tcPr>
                  <w:tcW w:type="dxa" w:w="2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Manpower — student honorarium</w:t>
                  </w:r>
                </w:p>
              </w:tc>
              <w:tc>
                <w:tcPr>
                  <w:tcW w:type="dxa" w:w="410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2 student developers × ₹2,000/month × 9 active project months, as per institute norms.</w:t>
                  </w:r>
                </w:p>
              </w:tc>
              <w:tc>
                <w:tcPr>
                  <w:tcW w:type="dxa" w:w="1800"/>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val="false"/>
                      <w:bCs w:val="false"/>
                      <w:i w:val="false"/>
                      <w:iCs w:val="false"/>
                      <w:sz w:val="21"/>
                      <w:szCs w:val="21"/>
                    </w:rPr>
                    <w:t>36,000</w:t>
                  </w:r>
                </w:p>
              </w:tc>
            </w:tr>
            <w:tr>
              <w:tc>
                <w:tcPr>
                  <w:tcW w:type="dxa" w:w="520"/>
                  <w:tcMar>
                    <w:top w:type="dxa" w:w="70"/>
                    <w:left w:type="dxa" w:w="110"/>
                    <w:bottom w:type="dxa" w:w="70"/>
                    <w:right w:type="dxa" w:w="110"/>
                  </w:tcMar>
                  <w:vAlign w:val="top"/>
                </w:tcPr>
                <w:p>
                  <w:pPr>
                    <w:spacing w:after="60" w:before="40" w:line="260"/>
                    <w:jc w:val="center"/>
                  </w:pPr>
                  <w:r>
                    <w:rPr>
                      <w:rFonts w:ascii="Times New Roman" w:cs="Times New Roman" w:eastAsia="Times New Roman" w:hAnsi="Times New Roman"/>
                      <w:b w:val="false"/>
                      <w:bCs w:val="false"/>
                      <w:i w:val="false"/>
                      <w:iCs w:val="false"/>
                      <w:sz w:val="21"/>
                      <w:szCs w:val="21"/>
                    </w:rPr>
                    <w:t xml:space="preserve">6</w:t>
                  </w:r>
                </w:p>
              </w:tc>
              <w:tc>
                <w:tcPr>
                  <w:tcW w:type="dxa" w:w="2600"/>
                  <w:tcMar>
                    <w:top w:type="dxa" w:w="70"/>
                    <w:left w:type="dxa" w:w="110"/>
                    <w:bottom w:type="dxa" w:w="70"/>
                    <w:right w:type="dxa" w:w="110"/>
                  </w:tcMar>
                  <w:vAlign w:val="top"/>
                </w:tcPr>
                <w:p>
                  <w:pPr>
                    <w:spacing w:after="60" w:before="40" w:line="260"/>
                  </w:pPr>
                  <w:r>
                    <w:rPr>
                      <w:rFonts w:ascii="Times New Roman" w:cs="Times New Roman" w:eastAsia="Times New Roman" w:hAnsi="Times New Roman"/>
                      <w:b/>
                      <w:bCs/>
                      <w:i w:val="false"/>
                      <w:iCs w:val="false"/>
                      <w:sz w:val="21"/>
                      <w:szCs w:val="21"/>
                    </w:rPr>
                    <w:t xml:space="preserve">Domain, SSL and contingency</w:t>
                  </w:r>
                </w:p>
              </w:tc>
              <w:tc>
                <w:tcPr>
                  <w:tcW w:type="dxa" w:w="4106"/>
                  <w:tcMar>
                    <w:top w:type="dxa" w:w="70"/>
                    <w:left w:type="dxa" w:w="110"/>
                    <w:bottom w:type="dxa" w:w="70"/>
                    <w:right w:type="dxa" w:w="110"/>
                  </w:tcMar>
                  <w:vAlign w:val="top"/>
                </w:tcPr>
                <w:p>
                  <w:pPr>
                    <w:spacing w:after="60" w:before="40" w:line="260"/>
                  </w:pPr>
                  <w:r>
                    <w:rPr>
                      <w:rFonts w:ascii="Times New Roman" w:cs="Times New Roman" w:eastAsia="Times New Roman" w:hAnsi="Times New Roman"/>
                      <w:b w:val="false"/>
                      <w:bCs w:val="false"/>
                      <w:i w:val="false"/>
                      <w:iCs w:val="false"/>
                      <w:sz w:val="21"/>
                      <w:szCs w:val="21"/>
                    </w:rPr>
                    <w:t>₹0 if labsubmit.cbit.ac.in is issued by college IT; plus compute overage in peak examination weeks.</w:t>
                  </w:r>
                </w:p>
              </w:tc>
              <w:tc>
                <w:tcPr>
                  <w:tcW w:type="dxa" w:w="1800"/>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val="false"/>
                      <w:bCs w:val="false"/>
                      <w:i w:val="false"/>
                      <w:iCs w:val="false"/>
                      <w:sz w:val="21"/>
                      <w:szCs w:val="21"/>
                    </w:rPr>
                    <w:t>3,800</w:t>
                  </w:r>
                </w:p>
              </w:tc>
            </w:tr>
            <w:tr>
              <w:tc>
                <w:tcPr>
                  <w:tcW w:type="dxa" w:w="7226"/>
                  <w:gridSpan w:val="3"/>
                  <w:shd w:fill="E8E8E8" w:color="auto" w:val="clear"/>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bCs/>
                      <w:i w:val="false"/>
                      <w:iCs w:val="false"/>
                      <w:sz w:val="22"/>
                      <w:szCs w:val="22"/>
                    </w:rPr>
                    <w:t xml:space="preserve">Total</w:t>
                  </w:r>
                </w:p>
              </w:tc>
              <w:tc>
                <w:tcPr>
                  <w:tcW w:type="dxa" w:w="1800"/>
                  <w:shd w:fill="E8E8E8" w:color="auto" w:val="clear"/>
                  <w:tcMar>
                    <w:top w:type="dxa" w:w="70"/>
                    <w:left w:type="dxa" w:w="110"/>
                    <w:bottom w:type="dxa" w:w="70"/>
                    <w:right w:type="dxa" w:w="110"/>
                  </w:tcMar>
                  <w:vAlign w:val="top"/>
                </w:tcPr>
                <w:p>
                  <w:pPr>
                    <w:spacing w:after="60" w:before="40" w:line="260"/>
                    <w:jc w:val="right"/>
                  </w:pPr>
                  <w:r>
                    <w:rPr>
                      <w:rFonts w:ascii="Times New Roman" w:cs="Times New Roman" w:eastAsia="Times New Roman" w:hAnsi="Times New Roman"/>
                      <w:b/>
                      <w:bCs/>
                      <w:i w:val="false"/>
                      <w:iCs w:val="false"/>
                      <w:sz w:val="22"/>
                      <w:szCs w:val="22"/>
                    </w:rPr>
                    <w:t>89,000</w:t>
                  </w:r>
                </w:p>
              </w:tc>
            </w:tr>
          </w:tbl>
          <w:p>
            <w:pPr>
              <w:spacing w:after="40" w:before="20" w:line="250"/>
              <w:ind w:left="340" w:hanging="200"/>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val="false"/>
                <w:iCs w:val="false"/>
                <w:sz w:val="21"/>
                <w:szCs w:val="21"/>
              </w:rPr>
              <w:t xml:space="preserve">No equipment purchase is requested — LabSubmit runs in a browser, so lab computers need no compilers, IDEs or installation.</w:t>
            </w:r>
          </w:p>
          <w:p>
            <w:pPr>
              <w:spacing w:after="40" w:before="20" w:line="250"/>
              <w:ind w:left="340" w:hanging="200"/>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val="false"/>
                <w:iCs w:val="false"/>
                <w:sz w:val="21"/>
                <w:szCs w:val="21"/>
              </w:rPr>
              <w:t xml:space="preserve">Licence cost and development cost are both ₹0: all components are open-source and the platform is already built.</w:t>
            </w:r>
          </w:p>
          <w:p>
            <w:pPr>
              <w:spacing w:after="40" w:before="20" w:line="250"/>
              <w:ind w:left="340" w:hanging="200"/>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val="false"/>
                <w:iCs w:val="false"/>
                <w:sz w:val="21"/>
                <w:szCs w:val="21"/>
              </w:rPr>
              <w:t xml:space="preserve">Moved to a college virtual machine from year two, heads 1, 2 and 4 fall to almost ₹0, with student data remaining on campus.</w:t>
            </w:r>
          </w:p>
        </w:tc>
      </w:tr>
    </w:tbl>
    <w:p>
      <w:r>
        <w:br w:type="page"/>
      </w:r>
    </w:p>
    <w:p>
      <w:pPr>
        <w:spacing w:before="0" w:after="80" w:line="259" w:lineRule="auto"/>
      </w:pPr>
      <w:r>
        <w:rPr>
          <w:rFonts w:ascii="Times New Roman" w:hAnsi="Times New Roman" w:cs="Times New Roman" w:eastAsia="Times New Roman"/>
          <w:b/>
          <w:i w:val="0"/>
          <w:sz w:val="24"/>
        </w:rPr>
        <w:t>C.  Annexure — Secure Exam Integrity Subsystem</w:t>
      </w:r>
    </w:p>
    <w:p>
      <w:pPr>
        <w:spacing w:before="40" w:after="120" w:line="259" w:lineRule="auto"/>
      </w:pPr>
      <w:r>
        <w:rPr>
          <w:rFonts w:ascii="Times New Roman" w:hAnsi="Times New Roman" w:cs="Times New Roman" w:eastAsia="Times New Roman"/>
          <w:b w:val="0"/>
          <w:i/>
          <w:sz w:val="20"/>
        </w:rPr>
        <w:t>This annexure supports section B and describes the subsystem in the technical detail the word limits above do not permit. Every capability is marked either as implemented in the platform today or as proposed for the work this application funds. Nothing is described as implemented unless it exists in the current codebase.</w:t>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9028"/>
      </w:tblGrid>
      <w:tr>
        <w:trPr>
          <w:cantSplit/>
        </w:trPr>
        <w:tc>
          <w:tcPr>
            <w:tcW w:type="dxa" w:w="9029"/>
            <w:shd w:val="clear" w:color="auto" w:fill="E8E8E8"/>
            <w:tcMar>
              <w:top w:w="70" w:type="dxa"/>
              <w:left w:w="110" w:type="dxa"/>
              <w:bottom w:w="70" w:type="dxa"/>
              <w:right w:w="110" w:type="dxa"/>
            </w:tcMar>
          </w:tcPr>
          <w:p>
            <w:pPr>
              <w:spacing w:before="40" w:after="60"/>
            </w:pPr>
            <w:r>
              <w:rPr>
                <w:rFonts w:ascii="Times New Roman" w:hAnsi="Times New Roman" w:cs="Times New Roman" w:eastAsia="Times New Roman"/>
                <w:b/>
                <w:i w:val="0"/>
                <w:sz w:val="22"/>
              </w:rPr>
              <w:t>C.1  Objective</w:t>
            </w:r>
          </w:p>
        </w:tc>
      </w:tr>
      <w:tr>
        <w:trPr>
          <w:cantSplit/>
        </w:trPr>
        <w:tc>
          <w:tcPr>
            <w:tcW w:type="dxa" w:w="9029"/>
            <w:tcMar>
              <w:top w:w="70" w:type="dxa"/>
              <w:left w:w="110" w:type="dxa"/>
              <w:bottom w:w="70" w:type="dxa"/>
              <w:right w:w="110" w:type="dxa"/>
            </w:tcMar>
          </w:tcPr>
          <w:p>
            <w:pPr>
              <w:spacing w:before="20" w:after="40" w:line="254" w:lineRule="auto"/>
            </w:pPr>
            <w:r>
              <w:rPr>
                <w:rFonts w:ascii="Times New Roman" w:hAnsi="Times New Roman" w:cs="Times New Roman" w:eastAsia="Times New Roman"/>
                <w:b w:val="0"/>
                <w:i w:val="0"/>
                <w:sz w:val="21"/>
              </w:rPr>
              <w:t>Provide a reliable mechanism for detecting and recording suspicious browser-level activity during examinations, while keeping every security-sensitive element of exam state — the timer, the attempt, authorisation and submission — under backend control.</w:t>
            </w:r>
          </w:p>
          <w:p>
            <w:pPr>
              <w:spacing w:before="80" w:after="40" w:line="254" w:lineRule="auto"/>
            </w:pPr>
            <w:r>
              <w:rPr>
                <w:rFonts w:ascii="Times New Roman" w:hAnsi="Times New Roman" w:cs="Times New Roman" w:eastAsia="Times New Roman"/>
                <w:b w:val="0"/>
                <w:i w:val="0"/>
                <w:sz w:val="21"/>
              </w:rPr>
              <w:t>The subsystem is deliberately scoped as Exam Integrity Monitoring, not proctoring. It produces evidence for a human decision. It does not judge, and it does not claim to make cheating impossible.</w:t>
            </w:r>
          </w:p>
        </w:tc>
      </w:tr>
    </w:tbl>
    <w:p>
      <w:pPr>
        <w:spacing w:after="120"/>
      </w:pPr>
      <w:r>
        <w:rPr>
          <w:rFonts w:ascii="Times New Roman" w:hAnsi="Times New Roman" w:cs="Times New Roman" w:eastAsia="Times New Roman"/>
          <w:b w:val="0"/>
          <w:i w:val="0"/>
          <w:sz w:val="12"/>
        </w:rPr>
      </w:r>
    </w:p>
    <w:p>
      <w:pPr>
        <w:spacing w:before="80" w:after="60" w:line="259" w:lineRule="auto"/>
      </w:pPr>
      <w:r>
        <w:rPr>
          <w:rFonts w:ascii="Times New Roman" w:hAnsi="Times New Roman" w:cs="Times New Roman" w:eastAsia="Times New Roman"/>
          <w:b/>
          <w:i w:val="0"/>
          <w:sz w:val="23"/>
        </w:rPr>
        <w:t>C.2  Components</w:t>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2232"/>
        <w:gridCol w:w="5400"/>
        <w:gridCol w:w="1396"/>
      </w:tblGrid>
      <w:tr>
        <w:trPr>
          <w:cantSplit/>
          <w:tblHeader/>
        </w:trPr>
        <w:tc>
          <w:tcPr>
            <w:tcW w:type="dxa" w:w="2232"/>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Component</w:t>
            </w:r>
          </w:p>
        </w:tc>
        <w:tc>
          <w:tcPr>
            <w:tcW w:type="dxa" w:w="5400"/>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Responsibility</w:t>
            </w:r>
          </w:p>
        </w:tc>
        <w:tc>
          <w:tcPr>
            <w:tcW w:type="dxa" w:w="1397"/>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Status</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Secure Exam UI</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Pre-exam briefing, explicit Start Exam action, fullscreen request, countdown display, transient warnings and the blocking fullscreen-exit gate.</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Exam Session Manager</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Creates the attempt on start, records its start time, derives the effective deadline and enforces one attempt per student per exam.</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Integrity Event Collector</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Browser-side monitors for fullscreen state, window focus, tab visibility, developer-tool shortcuts and clipboard / context-menu / drag-and-drop actions; debounces and reports them to the backend.</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Violation Policy Engine</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Server-side deduplication, per-type counting and threshold evaluation; triggers auto-submission when a faculty-set fullscreen-exit threshold is crossed.</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Server-Authoritative Timer</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Computes the deadline from exam schedule and attempt start, re-checks it on every protected request and finalises expired attempts regardless of client behaviour.</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Submission Integrity Service</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A single idempotent finalisation path shared by manual submission, deadline expiry and threshold auto-submission, so the three can never diverge.</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Faculty Integrity Dashboard</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Per-exam and per-section violation log, per-student counts, and the event list shown beside each submission in the grading panel.</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Event Severity Classifier</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Assigns Low / Medium / High / Critical to each event type and drives dashboard prioritisation and reporting.</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Session Fingerprint Service</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Detects duplicate or concurrent sessions for the same attempt.</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Secure Exam Client</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A dedicated desktop client providing operating-system-level lockdown.</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Future work</w:t>
            </w:r>
          </w:p>
        </w:tc>
      </w:tr>
    </w:tbl>
    <w:p>
      <w:pPr>
        <w:spacing w:after="120"/>
      </w:pPr>
      <w:r>
        <w:rPr>
          <w:rFonts w:ascii="Times New Roman" w:hAnsi="Times New Roman" w:cs="Times New Roman" w:eastAsia="Times New Roman"/>
          <w:b w:val="0"/>
          <w:i w:val="0"/>
          <w:sz w:val="12"/>
        </w:rPr>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9028"/>
      </w:tblGrid>
      <w:tr>
        <w:trPr>
          <w:cantSplit/>
        </w:trPr>
        <w:tc>
          <w:tcPr>
            <w:tcW w:type="dxa" w:w="9029"/>
            <w:shd w:val="clear" w:color="auto" w:fill="E8E8E8"/>
            <w:tcMar>
              <w:top w:w="70" w:type="dxa"/>
              <w:left w:w="110" w:type="dxa"/>
              <w:bottom w:w="70" w:type="dxa"/>
              <w:right w:w="110" w:type="dxa"/>
            </w:tcMar>
          </w:tcPr>
          <w:p>
            <w:pPr>
              <w:spacing w:before="40" w:after="60"/>
            </w:pPr>
            <w:r>
              <w:rPr>
                <w:rFonts w:ascii="Times New Roman" w:hAnsi="Times New Roman" w:cs="Times New Roman" w:eastAsia="Times New Roman"/>
                <w:b/>
                <w:i w:val="0"/>
                <w:sz w:val="22"/>
              </w:rPr>
              <w:t>C.3  Data flow</w:t>
            </w:r>
          </w:p>
        </w:tc>
      </w:tr>
      <w:tr>
        <w:trPr>
          <w:cantSplit/>
        </w:trPr>
        <w:tc>
          <w:tcPr>
            <w:tcW w:type="dxa" w:w="9029"/>
            <w:tcMar>
              <w:top w:w="70" w:type="dxa"/>
              <w:left w:w="110" w:type="dxa"/>
              <w:bottom w:w="70" w:type="dxa"/>
              <w:right w:w="110" w:type="dxa"/>
            </w:tcMar>
          </w:tcPr>
          <w:p>
            <w:pPr>
              <w:spacing w:before="20" w:after="80" w:line="254" w:lineRule="auto"/>
            </w:pPr>
            <w:r>
              <w:rPr>
                <w:rFonts w:ascii="Times New Roman" w:hAnsi="Times New Roman" w:cs="Times New Roman" w:eastAsia="Times New Roman"/>
                <w:b/>
                <w:i w:val="0"/>
                <w:sz w:val="22"/>
              </w:rPr>
              <w:t>Student Browser  →  Secure Exam Monitor  →  Integrity Events  →  Backend API  →  Integrity Event Store  →  Faculty Dashboard</w:t>
            </w:r>
          </w:p>
          <w:p>
            <w:pPr>
              <w:spacing w:before="20" w:after="40" w:line="254" w:lineRule="auto"/>
            </w:pPr>
            <w:r>
              <w:rPr>
                <w:rFonts w:ascii="Times New Roman" w:hAnsi="Times New Roman" w:cs="Times New Roman" w:eastAsia="Times New Roman"/>
                <w:b w:val="0"/>
                <w:i w:val="0"/>
                <w:sz w:val="21"/>
              </w:rPr>
              <w:t>The flow is one-directional and advisory. An event that never reaches the backend — because the tab was closed, the network dropped or the client was tampered with — cannot extend the exam or unlock the workspace, because neither depends on the client reporting anything. The backend re-derives the deadline and the attempt state from its own records on every protected request.</w:t>
            </w:r>
          </w:p>
        </w:tc>
      </w:tr>
    </w:tbl>
    <w:p>
      <w:pPr>
        <w:spacing w:after="120"/>
      </w:pPr>
      <w:r>
        <w:rPr>
          <w:rFonts w:ascii="Times New Roman" w:hAnsi="Times New Roman" w:cs="Times New Roman" w:eastAsia="Times New Roman"/>
          <w:b w:val="0"/>
          <w:i w:val="0"/>
          <w:sz w:val="12"/>
        </w:rPr>
      </w:r>
    </w:p>
    <w:p>
      <w:pPr>
        <w:spacing w:before="80" w:after="60" w:line="259" w:lineRule="auto"/>
      </w:pPr>
      <w:r>
        <w:rPr>
          <w:rFonts w:ascii="Times New Roman" w:hAnsi="Times New Roman" w:cs="Times New Roman" w:eastAsia="Times New Roman"/>
          <w:b/>
          <w:i w:val="0"/>
          <w:sz w:val="23"/>
        </w:rPr>
        <w:t>C.4  Security principles</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Never trust client-provided exam state. </w:t>
      </w:r>
      <w:r>
        <w:rPr>
          <w:rFonts w:ascii="Times New Roman" w:hAnsi="Times New Roman" w:cs="Times New Roman" w:eastAsia="Times New Roman"/>
          <w:b w:val="0"/>
          <w:i w:val="0"/>
          <w:sz w:val="21"/>
        </w:rPr>
        <w:t>Timer values, attempt status and submission flags sent by the browser are ignored; the server reads its own records.</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The server controls exam timing. </w:t>
      </w:r>
      <w:r>
        <w:rPr>
          <w:rFonts w:ascii="Times New Roman" w:hAnsi="Times New Roman" w:cs="Times New Roman" w:eastAsia="Times New Roman"/>
          <w:b w:val="0"/>
          <w:i w:val="0"/>
          <w:sz w:val="21"/>
        </w:rPr>
        <w:t>The effective deadline is the earlier of the exam's scheduled end time and the student's start time plus the permitted duration, recomputed server-side on every protected request.</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The server controls submission state. </w:t>
      </w:r>
      <w:r>
        <w:rPr>
          <w:rFonts w:ascii="Times New Roman" w:hAnsi="Times New Roman" w:cs="Times New Roman" w:eastAsia="Times New Roman"/>
          <w:b w:val="0"/>
          <w:i w:val="0"/>
          <w:sz w:val="21"/>
        </w:rPr>
        <w:t>Manual submission, deadline expiry and threshold auto-submission all run through one idempotent finalisation routine; a submitted workspace cannot be modified.</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Authorisation is enforced on every protected endpoint. </w:t>
      </w:r>
      <w:r>
        <w:rPr>
          <w:rFonts w:ascii="Times New Roman" w:hAnsi="Times New Roman" w:cs="Times New Roman" w:eastAsia="Times New Roman"/>
          <w:b w:val="0"/>
          <w:i w:val="0"/>
          <w:sz w:val="21"/>
        </w:rPr>
        <w:t>Role, workspace ownership, exam window and deadline are re-verified independently on each request, including on the WebSocket code-execution channel.</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Integrity events are timestamped and immutable. </w:t>
      </w:r>
      <w:r>
        <w:rPr>
          <w:rFonts w:ascii="Times New Roman" w:hAnsi="Times New Roman" w:cs="Times New Roman" w:eastAsia="Times New Roman"/>
          <w:b w:val="0"/>
          <w:i w:val="0"/>
          <w:sz w:val="21"/>
        </w:rPr>
        <w:t>Each event is written with its type, detail, owning attempt and server-side creation time.</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Suspicious events are retained for faculty review. </w:t>
      </w:r>
      <w:r>
        <w:rPr>
          <w:rFonts w:ascii="Times New Roman" w:hAnsi="Times New Roman" w:cs="Times New Roman" w:eastAsia="Times New Roman"/>
          <w:b w:val="0"/>
          <w:i w:val="0"/>
          <w:sz w:val="21"/>
        </w:rPr>
        <w:t>Events persist beyond submission so that a decision can be revisited with the full sequence available.</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The examination is bounded by the browser. </w:t>
      </w:r>
      <w:r>
        <w:rPr>
          <w:rFonts w:ascii="Times New Roman" w:hAnsi="Times New Roman" w:cs="Times New Roman" w:eastAsia="Times New Roman"/>
          <w:b w:val="0"/>
          <w:i w:val="0"/>
          <w:sz w:val="21"/>
        </w:rPr>
        <w:t>The subsystem makes no attempt to reach the operating system and does not claim to.</w:t>
      </w:r>
    </w:p>
    <w:p>
      <w:pPr>
        <w:spacing w:after="120"/>
      </w:pPr>
      <w:r>
        <w:rPr>
          <w:rFonts w:ascii="Times New Roman" w:hAnsi="Times New Roman" w:cs="Times New Roman" w:eastAsia="Times New Roman"/>
          <w:b w:val="0"/>
          <w:i w:val="0"/>
          <w:sz w:val="12"/>
        </w:rPr>
      </w:r>
    </w:p>
    <w:p>
      <w:pPr>
        <w:spacing w:before="80" w:after="40" w:line="259" w:lineRule="auto"/>
      </w:pPr>
      <w:r>
        <w:rPr>
          <w:rFonts w:ascii="Times New Roman" w:hAnsi="Times New Roman" w:cs="Times New Roman" w:eastAsia="Times New Roman"/>
          <w:b/>
          <w:i w:val="0"/>
          <w:sz w:val="23"/>
        </w:rPr>
        <w:t>C.5  Data model</w:t>
      </w:r>
    </w:p>
    <w:p>
      <w:pPr>
        <w:spacing w:before="40" w:after="80" w:line="259" w:lineRule="auto"/>
      </w:pPr>
      <w:r>
        <w:rPr>
          <w:rFonts w:ascii="Times New Roman" w:hAnsi="Times New Roman" w:cs="Times New Roman" w:eastAsia="Times New Roman"/>
          <w:b w:val="0"/>
          <w:i/>
          <w:sz w:val="20"/>
        </w:rPr>
        <w:t>The platform's existing Prisma schema already carries the exam-attempt and integrity-event concepts. The tables below list the fields that exist today and, separately, the fields proposed as part of this project. Proposed fields are not present in the current schema.</w:t>
      </w:r>
    </w:p>
    <w:p>
      <w:pPr>
        <w:spacing w:before="60" w:after="40" w:line="259" w:lineRule="auto"/>
      </w:pPr>
      <w:r>
        <w:rPr>
          <w:rFonts w:ascii="Times New Roman" w:hAnsi="Times New Roman" w:cs="Times New Roman" w:eastAsia="Times New Roman"/>
          <w:b/>
          <w:i w:val="0"/>
          <w:sz w:val="21"/>
        </w:rPr>
        <w:t>Exam attempt  —  stored today as LabWorkspace</w:t>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1900"/>
        <w:gridCol w:w="5832"/>
        <w:gridCol w:w="1296"/>
      </w:tblGrid>
      <w:tr>
        <w:trPr>
          <w:cantSplit/>
          <w:tblHeader/>
        </w:trPr>
        <w:tc>
          <w:tcPr>
            <w:tcW w:type="dxa" w:w="1901"/>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Field</w:t>
            </w:r>
          </w:p>
        </w:tc>
        <w:tc>
          <w:tcPr>
            <w:tcW w:type="dxa" w:w="5832"/>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Meaning</w:t>
            </w:r>
          </w:p>
        </w:tc>
        <w:tc>
          <w:tcPr>
            <w:tcW w:type="dxa" w:w="1296"/>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Status</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Attempt identifier.</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studentId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Owning student.</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labId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The exam this attempt belongs to.</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startedAt</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Set when the student starts the exam; begins the personal countdown.</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submittedAt</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Time of finalisation, manual or automatic.</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isSubmitted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Locks the workspace read-only.</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autoSubmitted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Distinguishes automatic from student-initiated submission.</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fullscreenExitCount</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Counter driving the auto-submit threshold.</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expiresAt</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Denormalised effective deadline; today derived on demand rather than stored.</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sessionId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Session fingerprint, for duplicate-session detection.</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violationCount</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Denormalised total across all event types.</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lastActivityAt</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Timestamp of the most recent authorised request.</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bl>
    <w:p>
      <w:pPr>
        <w:spacing w:after="80"/>
      </w:pPr>
      <w:r>
        <w:rPr>
          <w:rFonts w:ascii="Times New Roman" w:hAnsi="Times New Roman" w:cs="Times New Roman" w:eastAsia="Times New Roman"/>
          <w:b w:val="0"/>
          <w:i w:val="0"/>
          <w:sz w:val="12"/>
        </w:rPr>
      </w:r>
    </w:p>
    <w:p>
      <w:pPr>
        <w:spacing w:before="60" w:after="40" w:line="259" w:lineRule="auto"/>
      </w:pPr>
      <w:r>
        <w:rPr>
          <w:rFonts w:ascii="Times New Roman" w:hAnsi="Times New Roman" w:cs="Times New Roman" w:eastAsia="Times New Roman"/>
          <w:b/>
          <w:i w:val="0"/>
          <w:sz w:val="21"/>
        </w:rPr>
        <w:t>Integrity event  —  stored today as ExamViolation</w:t>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1900"/>
        <w:gridCol w:w="5832"/>
        <w:gridCol w:w="1296"/>
      </w:tblGrid>
      <w:tr>
        <w:trPr>
          <w:cantSplit/>
          <w:tblHeader/>
        </w:trPr>
        <w:tc>
          <w:tcPr>
            <w:tcW w:type="dxa" w:w="1901"/>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Field</w:t>
            </w:r>
          </w:p>
        </w:tc>
        <w:tc>
          <w:tcPr>
            <w:tcW w:type="dxa" w:w="5832"/>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Meaning</w:t>
            </w:r>
          </w:p>
        </w:tc>
        <w:tc>
          <w:tcPr>
            <w:tcW w:type="dxa" w:w="1296"/>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Status</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Event identifier.</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studentId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Student the event belongs to.</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labId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Exam the event belongs to.</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type</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FULLSCREEN_EXIT, TAB_SWITCH, WINDOW_BLUR, VISIBILITY_HIDDEN, DEVTOOLS_ATTEMPT, CLIPBOARD_BLOCKED.</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details</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Free-text context recorded with the event.</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createdAt</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Server-side timestamp; the basis of the review timeline.</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attemptId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Direct link to the attempt; today resolved through studentId and labId.</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sessionId</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Session the event was raised in.</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severity</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LOW / MEDIUM / HIGH / CRITICAL classification.</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901"/>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metadata</w:t>
            </w:r>
          </w:p>
        </w:tc>
        <w:tc>
          <w:tcPr>
            <w:tcW w:type="dxa" w:w="5832"/>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Structured payload replacing the free-text details field.</w:t>
            </w:r>
          </w:p>
        </w:tc>
        <w:tc>
          <w:tcPr>
            <w:tcW w:type="dxa" w:w="1296"/>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bl>
    <w:p>
      <w:pPr>
        <w:spacing w:after="120"/>
      </w:pPr>
      <w:r>
        <w:rPr>
          <w:rFonts w:ascii="Times New Roman" w:hAnsi="Times New Roman" w:cs="Times New Roman" w:eastAsia="Times New Roman"/>
          <w:b w:val="0"/>
          <w:i w:val="0"/>
          <w:sz w:val="12"/>
        </w:rPr>
      </w:r>
    </w:p>
    <w:p>
      <w:pPr>
        <w:spacing w:before="80" w:after="60" w:line="259" w:lineRule="auto"/>
      </w:pPr>
      <w:r>
        <w:rPr>
          <w:rFonts w:ascii="Times New Roman" w:hAnsi="Times New Roman" w:cs="Times New Roman" w:eastAsia="Times New Roman"/>
          <w:b/>
          <w:i w:val="0"/>
          <w:sz w:val="23"/>
        </w:rPr>
        <w:t>C.6  Integrity event taxonomy and severity</w:t>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1224"/>
        <w:gridCol w:w="4924"/>
        <w:gridCol w:w="2880"/>
      </w:tblGrid>
      <w:tr>
        <w:trPr>
          <w:cantSplit/>
          <w:tblHeader/>
        </w:trPr>
        <w:tc>
          <w:tcPr>
            <w:tcW w:type="dxa" w:w="1224"/>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Severity</w:t>
            </w:r>
          </w:p>
        </w:tc>
        <w:tc>
          <w:tcPr>
            <w:tcW w:type="dxa" w:w="4925"/>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Event</w:t>
            </w:r>
          </w:p>
        </w:tc>
        <w:tc>
          <w:tcPr>
            <w:tcW w:type="dxa" w:w="2880"/>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Recorded today?</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LOW</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Copy attempt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Blocked; logging 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LOW</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Cut attempt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Blocked; logging 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LOW</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Context-menu attempt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Blocked; logging 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LOW</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Drag-and-drop attempt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Blocked; logging 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MEDIUM</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Fullscreen exit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Yes</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MEDIUM</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Tab hidden / window minimised</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Yes</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MEDIUM</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Window blur (focus lost)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Yes</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MEDIUM</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Developer-tools shortcut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Yes</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MEDIUM</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Paste attempt</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Blocked; logging 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HIGH</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Repeated fullscreen exit reaching the auto-submit threshold</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Yes</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HIGH</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Repeated focus loss within a short window</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HIGH</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Duplicate exam session</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CRITICAL</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Unauthorised exam access</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Refused by the backend; logging 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CRITICAL</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Unauthorised submission</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Refused by the backend; logging proposed</w:t>
            </w:r>
          </w:p>
        </w:tc>
      </w:tr>
      <w:tr>
        <w:trPr>
          <w:cantSplit/>
        </w:trPr>
        <w:tc>
          <w:tcPr>
            <w:tcW w:type="dxa" w:w="1224"/>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CRITICAL</w:t>
            </w:r>
          </w:p>
        </w:tc>
        <w:tc>
          <w:tcPr>
            <w:tcW w:type="dxa" w:w="4925"/>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Backend authorisation violation</w:t>
            </w:r>
          </w:p>
        </w:tc>
        <w:tc>
          <w:tcPr>
            <w:tcW w:type="dxa" w:w="288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Refused by the backend; logging proposed</w:t>
            </w:r>
          </w:p>
        </w:tc>
      </w:tr>
    </w:tbl>
    <w:p>
      <w:pPr>
        <w:spacing w:before="80" w:after="120" w:line="259" w:lineRule="auto"/>
      </w:pPr>
      <w:r>
        <w:rPr>
          <w:rFonts w:ascii="Times New Roman" w:hAnsi="Times New Roman" w:cs="Times New Roman" w:eastAsia="Times New Roman"/>
          <w:b w:val="0"/>
          <w:i/>
          <w:sz w:val="20"/>
        </w:rPr>
        <w:t>Integrity events are signals for review, not automatic proof of academic misconduct. The platform never adjusts a mark on the strength of an event; the only automatic consequence is submission of the attempt when a faculty-set fullscreen-exit threshold is crossed.</w:t>
      </w:r>
    </w:p>
    <w:p>
      <w:pPr>
        <w:spacing w:after="80"/>
      </w:pPr>
      <w:r>
        <w:rPr>
          <w:rFonts w:ascii="Times New Roman" w:hAnsi="Times New Roman" w:cs="Times New Roman" w:eastAsia="Times New Roman"/>
          <w:b w:val="0"/>
          <w:i w:val="0"/>
          <w:sz w:val="12"/>
        </w:rPr>
      </w:r>
    </w:p>
    <w:p>
      <w:pPr>
        <w:spacing w:before="80" w:after="60" w:line="259" w:lineRule="auto"/>
      </w:pPr>
      <w:r>
        <w:rPr>
          <w:rFonts w:ascii="Times New Roman" w:hAnsi="Times New Roman" w:cs="Times New Roman" w:eastAsia="Times New Roman"/>
          <w:b/>
          <w:i w:val="0"/>
          <w:sz w:val="23"/>
        </w:rPr>
        <w:t>C.7  Functional security requirements</w:t>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2232"/>
        <w:gridCol w:w="5400"/>
        <w:gridCol w:w="1396"/>
      </w:tblGrid>
      <w:tr>
        <w:trPr>
          <w:cantSplit/>
          <w:tblHeader/>
        </w:trPr>
        <w:tc>
          <w:tcPr>
            <w:tcW w:type="dxa" w:w="2232"/>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Requirement</w:t>
            </w:r>
          </w:p>
        </w:tc>
        <w:tc>
          <w:tcPr>
            <w:tcW w:type="dxa" w:w="5400"/>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Description</w:t>
            </w:r>
          </w:p>
        </w:tc>
        <w:tc>
          <w:tcPr>
            <w:tcW w:type="dxa" w:w="1397"/>
            <w:shd w:val="clear" w:color="auto" w:fill="E8E8E8"/>
            <w:tcMar>
              <w:top w:w="50" w:type="dxa"/>
              <w:left w:w="90" w:type="dxa"/>
              <w:bottom w:w="50" w:type="dxa"/>
              <w:right w:w="90" w:type="dxa"/>
            </w:tcMar>
          </w:tcPr>
          <w:p>
            <w:pPr>
              <w:spacing w:before="20" w:after="20"/>
            </w:pPr>
            <w:r>
              <w:rPr>
                <w:rFonts w:ascii="Times New Roman" w:hAnsi="Times New Roman" w:cs="Times New Roman" w:eastAsia="Times New Roman"/>
                <w:b/>
                <w:i w:val="0"/>
                <w:sz w:val="19"/>
              </w:rPr>
              <w:t>Status</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Secure exam session creation</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An attempt begins only on an explicit action, only while the exam is running, and only once per student per exam.</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Fullscreen monitoring</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Fullscreen is requested at start; exits are detected, counted and gated behind a blocking re-entry prompt.</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Focus monitoring</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Loss of window focus during an active attempt is detected and reported.</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Visibility monitoring</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Tab hiding and window minimisation are detected and reported.</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Clipboard restriction</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Copy, cut, paste, drag-and-drop, selection and middle-click paste are blocked in the page, with per-exam overrides set by the faculty.</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Session protection</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A submitted attempt is locked read-only; execution and file operations are refused after submission or expiry.</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Server-authoritative timer</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The deadline is computed and enforced by the backend and cannot be extended from the client.</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Submission validation</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Every submission path passes through one idempotent server-side routine.</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Integrity event logging</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Events are deduplicated and persisted with a server-side timestamp.</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Faculty integrity review</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Faculty see per-exam logs, per-student counts and the event list beside each submission.</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Implemented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Event severity classification</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Each event carries a severity that drives dashboard prioritisation.</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r>
        <w:trPr>
          <w:cantSplit/>
        </w:trPr>
        <w:tc>
          <w:tcPr>
            <w:tcW w:type="dxa" w:w="2232"/>
            <w:tcMar>
              <w:top w:w="50" w:type="dxa"/>
              <w:left w:w="90" w:type="dxa"/>
              <w:bottom w:w="50" w:type="dxa"/>
              <w:right w:w="90" w:type="dxa"/>
            </w:tcMar>
          </w:tcPr>
          <w:p>
            <w:pPr>
              <w:spacing w:before="20" w:after="20" w:line="247" w:lineRule="auto"/>
            </w:pPr>
            <w:r>
              <w:rPr>
                <w:rFonts w:ascii="Times New Roman" w:hAnsi="Times New Roman" w:cs="Times New Roman" w:eastAsia="Times New Roman"/>
                <w:b/>
                <w:i w:val="0"/>
                <w:sz w:val="19"/>
              </w:rPr>
              <w:t>Duplicate-session detection</w:t>
            </w:r>
          </w:p>
        </w:tc>
        <w:tc>
          <w:tcPr>
            <w:tcW w:type="dxa" w:w="5400"/>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Concurrent sessions for one attempt are detected and raised as a High event.</w:t>
            </w:r>
          </w:p>
        </w:tc>
        <w:tc>
          <w:tcPr>
            <w:tcW w:type="dxa" w:w="1397"/>
            <w:tcMar>
              <w:top w:w="50" w:type="dxa"/>
              <w:left w:w="90" w:type="dxa"/>
              <w:bottom w:w="50" w:type="dxa"/>
              <w:right w:w="90" w:type="dxa"/>
            </w:tcMar>
          </w:tcPr>
          <w:p>
            <w:pPr>
              <w:spacing w:before="20" w:after="20" w:line="247" w:lineRule="auto"/>
            </w:pPr>
            <w:r>
              <w:rPr>
                <w:rFonts w:ascii="Times New Roman" w:hAnsi="Times New Roman" w:cs="Times New Roman" w:eastAsia="Times New Roman"/>
                <w:b w:val="0"/>
                <w:i w:val="0"/>
                <w:sz w:val="19"/>
              </w:rPr>
              <w:t>Proposed</w:t>
            </w:r>
          </w:p>
        </w:tc>
      </w:tr>
    </w:tbl>
    <w:p>
      <w:pPr>
        <w:spacing w:after="120"/>
      </w:pPr>
      <w:r>
        <w:rPr>
          <w:rFonts w:ascii="Times New Roman" w:hAnsi="Times New Roman" w:cs="Times New Roman" w:eastAsia="Times New Roman"/>
          <w:b w:val="0"/>
          <w:i w:val="0"/>
          <w:sz w:val="12"/>
        </w:rPr>
      </w:r>
    </w:p>
    <w:p>
      <w:pPr>
        <w:spacing w:before="80" w:after="60" w:line="259" w:lineRule="auto"/>
      </w:pPr>
      <w:r>
        <w:rPr>
          <w:rFonts w:ascii="Times New Roman" w:hAnsi="Times New Roman" w:cs="Times New Roman" w:eastAsia="Times New Roman"/>
          <w:b/>
          <w:i w:val="0"/>
          <w:sz w:val="23"/>
        </w:rPr>
        <w:t>C.8  Non-functional requirements</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Reliability. </w:t>
      </w:r>
      <w:r>
        <w:rPr>
          <w:rFonts w:ascii="Times New Roman" w:hAnsi="Times New Roman" w:cs="Times New Roman" w:eastAsia="Times New Roman"/>
          <w:b w:val="0"/>
          <w:i w:val="0"/>
          <w:sz w:val="21"/>
        </w:rPr>
        <w:t>An examination must survive a dropped connection, a reloaded page and a closed tab without losing the attempt or its deadline.</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Low monitoring overhead. </w:t>
      </w:r>
      <w:r>
        <w:rPr>
          <w:rFonts w:ascii="Times New Roman" w:hAnsi="Times New Roman" w:cs="Times New Roman" w:eastAsia="Times New Roman"/>
          <w:b w:val="0"/>
          <w:i w:val="0"/>
          <w:sz w:val="21"/>
        </w:rPr>
        <w:t>Event detection runs on native browser events with client-side debouncing, and must not perceptibly affect the editor.</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Auditability. </w:t>
      </w:r>
      <w:r>
        <w:rPr>
          <w:rFonts w:ascii="Times New Roman" w:hAnsi="Times New Roman" w:cs="Times New Roman" w:eastAsia="Times New Roman"/>
          <w:b w:val="0"/>
          <w:i w:val="0"/>
          <w:sz w:val="21"/>
        </w:rPr>
        <w:t>Every event and every submission carries a server-side timestamp, and the record survives grading and republication.</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Scalability. </w:t>
      </w:r>
      <w:r>
        <w:rPr>
          <w:rFonts w:ascii="Times New Roman" w:hAnsi="Times New Roman" w:cs="Times New Roman" w:eastAsia="Times New Roman"/>
          <w:b w:val="0"/>
          <w:i w:val="0"/>
          <w:sz w:val="21"/>
        </w:rPr>
        <w:t>The subsystem must behave predictably for a full section sitting the same exam simultaneously, and is load-tested at 60 and 300 concurrent users.</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Accessibility. </w:t>
      </w:r>
      <w:r>
        <w:rPr>
          <w:rFonts w:ascii="Times New Roman" w:hAnsi="Times New Roman" w:cs="Times New Roman" w:eastAsia="Times New Roman"/>
          <w:b w:val="0"/>
          <w:i w:val="0"/>
          <w:sz w:val="21"/>
        </w:rPr>
        <w:t>Warnings are textual and non-blocking; the only blocking interruption is the fullscreen gate, which is dismissible by re-entering fullscreen.</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Data privacy. </w:t>
      </w:r>
      <w:r>
        <w:rPr>
          <w:rFonts w:ascii="Times New Roman" w:hAnsi="Times New Roman" w:cs="Times New Roman" w:eastAsia="Times New Roman"/>
          <w:b w:val="0"/>
          <w:i w:val="0"/>
          <w:sz w:val="21"/>
        </w:rPr>
        <w:t>Only interaction metadata is captured. No camera, microphone, screen capture, keystroke content or personal file access is used anywhere in the subsystem.</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Fault tolerance. </w:t>
      </w:r>
      <w:r>
        <w:rPr>
          <w:rFonts w:ascii="Times New Roman" w:hAnsi="Times New Roman" w:cs="Times New Roman" w:eastAsia="Times New Roman"/>
          <w:b w:val="0"/>
          <w:i w:val="0"/>
          <w:sz w:val="21"/>
        </w:rPr>
        <w:t>Failure of the event pipeline degrades monitoring only; exam timing, authorisation and submission continue to work.</w:t>
      </w:r>
    </w:p>
    <w:p>
      <w:pPr>
        <w:spacing w:before="20" w:after="40" w:line="252" w:lineRule="auto"/>
        <w:ind w:left="346" w:hanging="230"/>
      </w:pP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 xml:space="preserve">Secure authorisation. </w:t>
      </w:r>
      <w:r>
        <w:rPr>
          <w:rFonts w:ascii="Times New Roman" w:hAnsi="Times New Roman" w:cs="Times New Roman" w:eastAsia="Times New Roman"/>
          <w:b w:val="0"/>
          <w:i w:val="0"/>
          <w:sz w:val="21"/>
        </w:rPr>
        <w:t>Role, ownership, exam window and deadline are re-verified on every protected request, including the execution channel.</w:t>
      </w:r>
    </w:p>
    <w:p>
      <w:pPr>
        <w:spacing w:after="120"/>
      </w:pPr>
      <w:r>
        <w:rPr>
          <w:rFonts w:ascii="Times New Roman" w:hAnsi="Times New Roman" w:cs="Times New Roman" w:eastAsia="Times New Roman"/>
          <w:b w:val="0"/>
          <w:i w:val="0"/>
          <w:sz w:val="12"/>
        </w:rPr>
      </w:r>
    </w:p>
    <w:p>
      <w:pPr>
        <w:spacing w:before="80" w:after="60" w:line="259" w:lineRule="auto"/>
      </w:pPr>
      <w:r>
        <w:rPr>
          <w:rFonts w:ascii="Times New Roman" w:hAnsi="Times New Roman" w:cs="Times New Roman" w:eastAsia="Times New Roman"/>
          <w:b/>
          <w:i w:val="0"/>
          <w:sz w:val="23"/>
        </w:rPr>
        <w:t>C.9  Limitations — the browser security boundary</w:t>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9028"/>
      </w:tblGrid>
      <w:tr>
        <w:trPr>
          <w:cantSplit/>
        </w:trPr>
        <w:tc>
          <w:tcPr>
            <w:tcW w:type="dxa" w:w="9029"/>
            <w:shd w:val="clear" w:color="auto" w:fill="E8E8E8"/>
            <w:tcMar>
              <w:top w:w="70" w:type="dxa"/>
              <w:left w:w="110" w:type="dxa"/>
              <w:bottom w:w="70" w:type="dxa"/>
              <w:right w:w="110" w:type="dxa"/>
            </w:tcMar>
          </w:tcPr>
          <w:p>
            <w:pPr>
              <w:spacing w:before="40" w:after="60"/>
            </w:pPr>
            <w:r>
              <w:rPr>
                <w:rFonts w:ascii="Times New Roman" w:hAnsi="Times New Roman" w:cs="Times New Roman" w:eastAsia="Times New Roman"/>
                <w:b/>
                <w:i w:val="0"/>
                <w:sz w:val="22"/>
              </w:rPr>
              <w:t>Stated plainly, because the credibility of the subsystem depends on it</w:t>
            </w:r>
          </w:p>
        </w:tc>
      </w:tr>
      <w:tr>
        <w:trPr>
          <w:cantSplit/>
        </w:trPr>
        <w:tc>
          <w:tcPr>
            <w:tcW w:type="dxa" w:w="9029"/>
            <w:tcMar>
              <w:top w:w="70" w:type="dxa"/>
              <w:left w:w="110" w:type="dxa"/>
              <w:bottom w:w="70" w:type="dxa"/>
              <w:right w:w="110" w:type="dxa"/>
            </w:tcMar>
          </w:tcPr>
          <w:p>
            <w:pPr>
              <w:spacing w:before="20" w:after="60" w:line="254" w:lineRule="auto"/>
            </w:pPr>
            <w:r>
              <w:rPr>
                <w:rFonts w:ascii="Times New Roman" w:hAnsi="Times New Roman" w:cs="Times New Roman" w:eastAsia="Times New Roman"/>
                <w:b w:val="0"/>
                <w:i w:val="0"/>
                <w:sz w:val="21"/>
              </w:rPr>
              <w:t>A web application cannot reliably control the Windows operating system. Secure Exam Mode therefore does not claim to prevent:</w:t>
            </w:r>
          </w:p>
          <w:p>
            <w:pPr>
              <w:spacing w:before="20" w:after="80" w:line="254" w:lineRule="auto"/>
              <w:ind w:left="259"/>
            </w:pPr>
            <w:r>
              <w:rPr>
                <w:rFonts w:ascii="Times New Roman" w:hAnsi="Times New Roman" w:cs="Times New Roman" w:eastAsia="Times New Roman"/>
                <w:b/>
                <w:i w:val="0"/>
                <w:sz w:val="21"/>
              </w:rPr>
              <w:t>Alt + Tab  ·  Windows + Tab  ·  Task Manager  ·  screenshots  ·  screen recording  ·  a second computer  ·  a mobile phone  ·  USB devices  ·  other applications running alongside the browser</w:t>
            </w:r>
          </w:p>
          <w:p>
            <w:pPr>
              <w:spacing w:before="20" w:after="80" w:line="254" w:lineRule="auto"/>
            </w:pPr>
            <w:r>
              <w:rPr>
                <w:rFonts w:ascii="Times New Roman" w:hAnsi="Times New Roman" w:cs="Times New Roman" w:eastAsia="Times New Roman"/>
                <w:b w:val="0"/>
                <w:i w:val="0"/>
                <w:sz w:val="21"/>
              </w:rPr>
              <w:t>What it does do is close the routes that run through the browser itself — clipboard, context menu, developer-tool shortcuts and drag-and-drop — detect when the student leaves the examination window, and record each occurrence with a timestamp for faculty review. It supplements invigilation; it does not replace it.</w:t>
            </w:r>
          </w:p>
          <w:p>
            <w:pPr>
              <w:spacing w:before="20" w:after="40" w:line="254" w:lineRule="auto"/>
            </w:pPr>
            <w:r>
              <w:rPr>
                <w:rFonts w:ascii="Times New Roman" w:hAnsi="Times New Roman" w:cs="Times New Roman" w:eastAsia="Times New Roman"/>
                <w:b w:val="0"/>
                <w:i w:val="0"/>
                <w:sz w:val="21"/>
              </w:rPr>
              <w:t>A dedicated LabSubmit Secure Exam Client with a Windows kiosk mode, application restrictions and controlled network access is proposed for a following phase to provide stronger operating-system-level lockdown. It is not implemented, it is not part of the work this application funds, and nothing in this proposal depends on it.</w:t>
            </w:r>
          </w:p>
        </w:tc>
      </w:tr>
    </w:tbl>
    <w:p>
      <w:pPr>
        <w:spacing w:after="120"/>
      </w:pPr>
      <w:r>
        <w:rPr>
          <w:rFonts w:ascii="Times New Roman" w:hAnsi="Times New Roman" w:cs="Times New Roman" w:eastAsia="Times New Roman"/>
          <w:b w:val="0"/>
          <w:i w:val="0"/>
          <w:sz w:val="12"/>
        </w:rPr>
      </w:r>
    </w:p>
    <w:tbl>
      <w:tblPr>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w="9028" w:type="dxa"/>
        <w:tblLayout w:type="fixed"/>
      </w:tblPr>
      <w:tblGrid>
        <w:gridCol w:w="9028"/>
      </w:tblGrid>
      <w:tr>
        <w:trPr>
          <w:cantSplit/>
        </w:trPr>
        <w:tc>
          <w:tcPr>
            <w:tcW w:type="dxa" w:w="9029"/>
            <w:shd w:val="clear" w:color="auto" w:fill="E8E8E8"/>
            <w:tcMar>
              <w:top w:w="70" w:type="dxa"/>
              <w:left w:w="110" w:type="dxa"/>
              <w:bottom w:w="70" w:type="dxa"/>
              <w:right w:w="110" w:type="dxa"/>
            </w:tcMar>
          </w:tcPr>
          <w:p>
            <w:pPr>
              <w:spacing w:before="40" w:after="60"/>
            </w:pPr>
            <w:r>
              <w:rPr>
                <w:rFonts w:ascii="Times New Roman" w:hAnsi="Times New Roman" w:cs="Times New Roman" w:eastAsia="Times New Roman"/>
                <w:b/>
                <w:i w:val="0"/>
                <w:sz w:val="22"/>
              </w:rPr>
              <w:t>C.10  Future work — LabSubmit Secure Exam Client</w:t>
            </w:r>
          </w:p>
        </w:tc>
      </w:tr>
      <w:tr>
        <w:trPr>
          <w:cantSplit/>
        </w:trPr>
        <w:tc>
          <w:tcPr>
            <w:tcW w:type="dxa" w:w="9029"/>
            <w:tcMar>
              <w:top w:w="70" w:type="dxa"/>
              <w:left w:w="110" w:type="dxa"/>
              <w:bottom w:w="70" w:type="dxa"/>
              <w:right w:w="110" w:type="dxa"/>
            </w:tcMar>
          </w:tcPr>
          <w:p>
            <w:pPr>
              <w:spacing w:before="20" w:after="60" w:line="254" w:lineRule="auto"/>
            </w:pPr>
            <w:r>
              <w:rPr>
                <w:rFonts w:ascii="Times New Roman" w:hAnsi="Times New Roman" w:cs="Times New Roman" w:eastAsia="Times New Roman"/>
                <w:b w:val="0"/>
                <w:i w:val="0"/>
                <w:sz w:val="21"/>
              </w:rPr>
              <w:t>Proposed for a following phase, beyond the twelve months covered by this application:</w:t>
            </w:r>
          </w:p>
          <w:p>
            <w:pPr>
              <w:spacing w:before="20" w:after="20" w:line="254" w:lineRule="auto"/>
              <w:ind w:left="259"/>
            </w:pPr>
            <w:r>
              <w:rPr>
                <w:rFonts w:ascii="Times New Roman" w:hAnsi="Times New Roman" w:cs="Times New Roman" w:eastAsia="Times New Roman"/>
                <w:b w:val="0"/>
                <w:i w:val="0"/>
                <w:sz w:val="21"/>
              </w:rPr>
              <w:t>•  Windows kiosk mode for the duration of an examination session</w:t>
            </w:r>
          </w:p>
          <w:p>
            <w:pPr>
              <w:spacing w:before="20" w:after="20" w:line="254" w:lineRule="auto"/>
              <w:ind w:left="259"/>
            </w:pPr>
            <w:r>
              <w:rPr>
                <w:rFonts w:ascii="Times New Roman" w:hAnsi="Times New Roman" w:cs="Times New Roman" w:eastAsia="Times New Roman"/>
                <w:b w:val="0"/>
                <w:i w:val="0"/>
                <w:sz w:val="21"/>
              </w:rPr>
              <w:t>•  Stronger application launch restrictions on the examination machine</w:t>
            </w:r>
          </w:p>
          <w:p>
            <w:pPr>
              <w:spacing w:before="20" w:after="20" w:line="254" w:lineRule="auto"/>
              <w:ind w:left="259"/>
            </w:pPr>
            <w:r>
              <w:rPr>
                <w:rFonts w:ascii="Times New Roman" w:hAnsi="Times New Roman" w:cs="Times New Roman" w:eastAsia="Times New Roman"/>
                <w:b w:val="0"/>
                <w:i w:val="0"/>
                <w:sz w:val="21"/>
              </w:rPr>
              <w:t>•  Controlled network access during an exam</w:t>
            </w:r>
          </w:p>
          <w:p>
            <w:pPr>
              <w:spacing w:before="20" w:after="20" w:line="254" w:lineRule="auto"/>
              <w:ind w:left="259"/>
            </w:pPr>
            <w:r>
              <w:rPr>
                <w:rFonts w:ascii="Times New Roman" w:hAnsi="Times New Roman" w:cs="Times New Roman" w:eastAsia="Times New Roman"/>
                <w:b w:val="0"/>
                <w:i w:val="0"/>
                <w:sz w:val="21"/>
              </w:rPr>
              <w:t>•  Stronger operating-system-level exam lockdown</w:t>
            </w:r>
          </w:p>
          <w:p>
            <w:pPr>
              <w:spacing w:before="20" w:after="20" w:line="254" w:lineRule="auto"/>
              <w:ind w:left="259"/>
            </w:pPr>
            <w:r>
              <w:rPr>
                <w:rFonts w:ascii="Times New Roman" w:hAnsi="Times New Roman" w:cs="Times New Roman" w:eastAsia="Times New Roman"/>
                <w:b w:val="0"/>
                <w:i w:val="0"/>
                <w:sz w:val="21"/>
              </w:rPr>
              <w:t>•  A controlled, reproducible lab examination environment</w:t>
            </w:r>
          </w:p>
          <w:p>
            <w:pPr>
              <w:spacing w:before="20" w:after="80" w:line="254" w:lineRule="auto"/>
              <w:ind w:left="259"/>
            </w:pPr>
            <w:r>
              <w:rPr>
                <w:rFonts w:ascii="Times New Roman" w:hAnsi="Times New Roman" w:cs="Times New Roman" w:eastAsia="Times New Roman"/>
                <w:b w:val="0"/>
                <w:i w:val="0"/>
                <w:sz w:val="21"/>
              </w:rPr>
              <w:t>•  Centralised deployment and configuration across institutional labs</w:t>
            </w:r>
          </w:p>
          <w:p>
            <w:pPr>
              <w:spacing w:before="20" w:after="40" w:line="254" w:lineRule="auto"/>
            </w:pPr>
            <w:r>
              <w:rPr>
                <w:rFonts w:ascii="Times New Roman" w:hAnsi="Times New Roman" w:cs="Times New Roman" w:eastAsia="Times New Roman"/>
                <w:b w:val="0"/>
                <w:i/>
                <w:sz w:val="20"/>
              </w:rPr>
              <w:t>Listed here as future work so that the scope of the present application is not misread. No budget head in section B.6 depends on it.</w:t>
            </w:r>
          </w:p>
        </w:tc>
      </w:tr>
    </w:tbl>
    <w:p>
      <w:pPr>
        <w:spacing w:after="0" w:before="400" w:line="260"/>
      </w:pPr>
      <w:r>
        <w:rPr>
          <w:rFonts w:ascii="Times New Roman" w:cs="Times New Roman" w:eastAsia="Times New Roman" w:hAnsi="Times New Roman"/>
          <w:b w:val="false"/>
          <w:bCs w:val="false"/>
          <w:i w:val="false"/>
          <w:iCs w:val="false"/>
          <w:sz w:val="22"/>
          <w:szCs w:val="22"/>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Mar>
              <w:top w:type="dxa" w:w="70"/>
              <w:left w:type="dxa" w:w="110"/>
              <w:bottom w:type="dxa" w:w="70"/>
              <w:right w:type="dxa" w:w="110"/>
            </w:tcMar>
            <w:vAlign w:val="top"/>
          </w:tcPr>
          <w:p>
            <w:pPr>
              <w:spacing w:after="60" w:before="260" w:line="260"/>
            </w:pPr>
            <w:r>
              <w:rPr>
                <w:rFonts w:ascii="Times New Roman" w:cs="Times New Roman" w:eastAsia="Times New Roman" w:hAnsi="Times New Roman"/>
                <w:b w:val="false"/>
                <w:bCs w:val="false"/>
                <w:i w:val="false"/>
                <w:iCs w:val="false"/>
                <w:sz w:val="22"/>
                <w:szCs w:val="22"/>
              </w:rPr>
              <w:t xml:space="preserve"/>
            </w:r>
          </w:p>
          <w:p>
            <w:pPr>
              <w:spacing w:after="60" w:before="40" w:line="260"/>
            </w:pPr>
            <w:r>
              <w:rPr>
                <w:rFonts w:ascii="Times New Roman" w:cs="Times New Roman" w:eastAsia="Times New Roman" w:hAnsi="Times New Roman"/>
                <w:b/>
                <w:bCs/>
                <w:i w:val="false"/>
                <w:iCs w:val="false"/>
                <w:sz w:val="22"/>
                <w:szCs w:val="22"/>
              </w:rPr>
              <w:t xml:space="preserve">Signature of PI</w:t>
            </w:r>
          </w:p>
        </w:tc>
        <w:tc>
          <w:tcPr>
            <w:tcW w:type="dxa" w:w="4513"/>
            <w:tcMar>
              <w:top w:type="dxa" w:w="70"/>
              <w:left w:type="dxa" w:w="110"/>
              <w:bottom w:type="dxa" w:w="70"/>
              <w:right w:type="dxa" w:w="110"/>
            </w:tcMar>
            <w:vAlign w:val="top"/>
          </w:tcPr>
          <w:p>
            <w:pPr>
              <w:spacing w:after="60" w:before="260" w:line="260"/>
            </w:pPr>
            <w:r>
              <w:rPr>
                <w:rFonts w:ascii="Times New Roman" w:cs="Times New Roman" w:eastAsia="Times New Roman" w:hAnsi="Times New Roman"/>
                <w:b w:val="false"/>
                <w:bCs w:val="false"/>
                <w:i w:val="false"/>
                <w:iCs w:val="false"/>
                <w:sz w:val="22"/>
                <w:szCs w:val="22"/>
              </w:rPr>
              <w:t xml:space="preserve"/>
            </w:r>
          </w:p>
          <w:p>
            <w:pPr>
              <w:spacing w:after="60" w:before="40" w:line="260"/>
            </w:pPr>
            <w:r>
              <w:rPr>
                <w:rFonts w:ascii="Times New Roman" w:cs="Times New Roman" w:eastAsia="Times New Roman" w:hAnsi="Times New Roman"/>
                <w:b w:val="false"/>
                <w:bCs w:val="false"/>
                <w:i w:val="false"/>
                <w:iCs w:val="false"/>
                <w:sz w:val="22"/>
                <w:szCs w:val="22"/>
              </w:rPr>
              <w:t xml:space="preserve">Date:</w:t>
            </w:r>
          </w:p>
          <w:p>
            <w:pPr>
              <w:spacing w:after="60" w:before="40" w:line="260"/>
            </w:pPr>
            <w:r>
              <w:rPr>
                <w:rFonts w:ascii="Times New Roman" w:cs="Times New Roman" w:eastAsia="Times New Roman" w:hAnsi="Times New Roman"/>
                <w:b w:val="false"/>
                <w:bCs w:val="false"/>
                <w:i w:val="false"/>
                <w:iCs w:val="false"/>
                <w:sz w:val="22"/>
                <w:szCs w:val="22"/>
              </w:rPr>
              <w:t xml:space="preserve">Place:  Hyderabad</w:t>
            </w:r>
          </w:p>
        </w:tc>
      </w:tr>
    </w:tbl>
    <w:p>
      <w:pPr>
        <w:spacing w:after="400" w:before="400" w:line="260"/>
      </w:pPr>
      <w:r>
        <w:rPr>
          <w:rFonts w:ascii="Times New Roman" w:cs="Times New Roman" w:eastAsia="Times New Roman" w:hAnsi="Times New Roman"/>
          <w:b/>
          <w:bCs/>
          <w:i w:val="false"/>
          <w:iCs w:val="false"/>
          <w:sz w:val="22"/>
          <w:szCs w:val="22"/>
        </w:rPr>
        <w:t xml:space="preserve">Recommendations of HoD and Signature:</w:t>
      </w:r>
    </w:p>
    <w:p>
      <w:pPr>
        <w:pBdr>
          <w:bottom w:val="single" w:color="999999" w:sz="6" w:space="1"/>
        </w:pBdr>
        <w:spacing w:after="100" w:before="100"/>
      </w:pPr>
      <w:r>
        <w:rPr>
          <w:rFonts w:ascii="Times New Roman" w:cs="Times New Roman" w:eastAsia="Times New Roman" w:hAnsi="Times New Roman"/>
          <w:b w:val="false"/>
          <w:bCs w:val="false"/>
          <w:i w:val="false"/>
          <w:iCs w:val="false"/>
          <w:sz w:val="22"/>
          <w:szCs w:val="22"/>
        </w:rPr>
        <w:t xml:space="preserve"/>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b2748881fabde9be3669974e87ebc7d1f497d1.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2026-08-11T16:25:52.331Z</dcterms:created>
  <dcterms:modified xsi:type="dcterms:W3CDTF">2026-08-11T16:25:52.332Z</dcterms:modified>
</cp:coreProperties>
</file>

<file path=docProps/custom.xml><?xml version="1.0" encoding="utf-8"?>
<Properties xmlns="http://schemas.openxmlformats.org/officeDocument/2006/custom-properties" xmlns:vt="http://schemas.openxmlformats.org/officeDocument/2006/docPropsVTypes"/>
</file>