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inline distT="0" distB="0" distL="0" distR="0">
            <wp:extent cx="68580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5800" cy="600075"/>
                    </a:xfrm>
                    <a:prstGeom prst="rect">
                      <a:avLst/>
                    </a:prstGeom>
                  </pic:spPr>
                </pic:pic>
              </a:graphicData>
            </a:graphic>
          </wp:inline>
        </w:drawing>
      </w:r>
    </w:p>
    <w:p>
      <w:pPr>
        <w:spacing w:after="20" w:before="40" w:line="260"/>
        <w:jc w:val="center"/>
      </w:pPr>
      <w:r>
        <w:rPr>
          <w:rFonts w:ascii="Times New Roman" w:cs="Times New Roman" w:eastAsia="Times New Roman" w:hAnsi="Times New Roman"/>
          <w:b/>
          <w:bCs/>
          <w:i w:val="false"/>
          <w:iCs w:val="false"/>
          <w:sz w:val="30"/>
          <w:szCs w:val="30"/>
        </w:rPr>
        <w:t xml:space="preserve">Chaitanya Bharathi Institute of Technology</w:t>
      </w:r>
    </w:p>
    <w:p>
      <w:pPr>
        <w:spacing w:after="100" w:before="40" w:line="260"/>
        <w:jc w:val="center"/>
      </w:pPr>
      <w:r>
        <w:rPr>
          <w:rFonts w:ascii="Times New Roman" w:cs="Times New Roman" w:eastAsia="Times New Roman" w:hAnsi="Times New Roman"/>
          <w:b w:val="false"/>
          <w:bCs w:val="false"/>
          <w:i/>
          <w:iCs/>
          <w:sz w:val="20"/>
          <w:szCs w:val="20"/>
        </w:rPr>
        <w:t xml:space="preserve">(Autonomous), Gandipet, Hyderabad</w:t>
      </w:r>
    </w:p>
    <w:p>
      <w:pPr>
        <w:spacing w:after="40" w:before="40" w:line="260"/>
        <w:jc w:val="center"/>
      </w:pPr>
      <w:r>
        <w:rPr>
          <w:rFonts w:ascii="Times New Roman" w:cs="Times New Roman" w:eastAsia="Times New Roman" w:hAnsi="Times New Roman"/>
          <w:b/>
          <w:bCs/>
          <w:i w:val="false"/>
          <w:iCs w:val="false"/>
          <w:sz w:val="26"/>
          <w:szCs w:val="26"/>
        </w:rPr>
        <w:t xml:space="preserve">Application for Software Development Project</w:t>
      </w:r>
    </w:p>
    <w:p>
      <w:pPr>
        <w:pBdr>
          <w:bottom w:val="single" w:color="999999" w:sz="6" w:space="1"/>
        </w:pBdr>
        <w:spacing w:after="100" w:before="100"/>
      </w:pPr>
      <w:r>
        <w:rPr>
          <w:rFonts w:ascii="Times New Roman" w:cs="Times New Roman" w:eastAsia="Times New Roman" w:hAnsi="Times New Roman"/>
          <w:b w:val="false"/>
          <w:bCs w:val="false"/>
          <w:i w:val="false"/>
          <w:iCs w:val="false"/>
          <w:sz w:val="22"/>
          <w:szCs w:val="22"/>
        </w:rPr>
        <w:t xml:space="preserve"/>
      </w:r>
    </w:p>
    <w:p>
      <w:pPr>
        <w:spacing w:after="120" w:before="120" w:line="260"/>
      </w:pPr>
      <w:r>
        <w:rPr>
          <w:rFonts w:ascii="Times New Roman" w:cs="Times New Roman" w:eastAsia="Times New Roman" w:hAnsi="Times New Roman"/>
          <w:b/>
          <w:bCs/>
          <w:i w:val="false"/>
          <w:iCs w:val="false"/>
          <w:sz w:val="24"/>
          <w:szCs w:val="24"/>
        </w:rPr>
        <w:t xml:space="preserve">A.  General Information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0"/>
        <w:gridCol w:w="2900"/>
        <w:gridCol w:w="300"/>
        <w:gridCol w:w="5266"/>
      </w:tblGrid>
      <w:tr>
        <w:tc>
          <w:tcPr>
            <w:tcW w:type="dxa" w:w="56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rPr>
              <w:t xml:space="preserve">1.</w:t>
            </w:r>
          </w:p>
        </w:tc>
        <w:tc>
          <w:tcPr>
            <w:tcW w:type="dxa" w:w="29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rPr>
              <w:t xml:space="preserve">Application for</w:t>
            </w:r>
          </w:p>
        </w:tc>
        <w:tc>
          <w:tcPr>
            <w:tcW w:type="dxa" w:w="30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2"/>
                <w:szCs w:val="22"/>
              </w:rPr>
              <w:t xml:space="preserve">:</w:t>
            </w:r>
          </w:p>
        </w:tc>
        <w:tc>
          <w:tcPr>
            <w:tcW w:type="dxa" w:w="526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2"/>
                <w:szCs w:val="22"/>
              </w:rPr>
              <w:t xml:space="preserve">Software Development Project</w:t>
            </w:r>
          </w:p>
        </w:tc>
      </w:tr>
      <w:tr>
        <w:tc>
          <w:tcPr>
            <w:tcW w:type="dxa" w:w="56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rPr>
              <w:t xml:space="preserve">2.</w:t>
            </w:r>
          </w:p>
        </w:tc>
        <w:tc>
          <w:tcPr>
            <w:tcW w:type="dxa" w:w="29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rPr>
              <w:t xml:space="preserve">Title of the Project</w:t>
            </w:r>
          </w:p>
        </w:tc>
        <w:tc>
          <w:tcPr>
            <w:tcW w:type="dxa" w:w="30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2"/>
                <w:szCs w:val="22"/>
              </w:rPr>
              <w:t xml:space="preserve">:</w:t>
            </w:r>
          </w:p>
        </w:tc>
        <w:tc>
          <w:tcPr>
            <w:tcW w:type="dxa" w:w="526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2"/>
                <w:szCs w:val="22"/>
              </w:rPr>
              <w:t xml:space="preserve">LabSubmit — A Secure Programming Laboratory Management, Code Execution and Evaluation Platform</w:t>
            </w:r>
          </w:p>
        </w:tc>
      </w:tr>
      <w:tr>
        <w:tc>
          <w:tcPr>
            <w:tcW w:type="dxa" w:w="56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rPr>
              <w:t xml:space="preserve">3.</w:t>
            </w:r>
          </w:p>
        </w:tc>
        <w:tc>
          <w:tcPr>
            <w:tcW w:type="dxa" w:w="29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rPr>
              <w:t xml:space="preserve">Department(s)</w:t>
            </w:r>
          </w:p>
        </w:tc>
        <w:tc>
          <w:tcPr>
            <w:tcW w:type="dxa" w:w="30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2"/>
                <w:szCs w:val="22"/>
              </w:rPr>
              <w:t xml:space="preserve">:</w:t>
            </w:r>
          </w:p>
        </w:tc>
        <w:tc>
          <w:tcPr>
            <w:tcW w:type="dxa" w:w="526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2"/>
                <w:szCs w:val="22"/>
              </w:rPr>
              <w:t xml:space="preserve">Computer Science and Engineering — IoT and Cyber Security including Blockchain Technology (CSE – IoT &amp; CSBCT)</w:t>
            </w:r>
          </w:p>
        </w:tc>
      </w:tr>
      <w:tr>
        <w:tc>
          <w:tcPr>
            <w:tcW w:type="dxa" w:w="56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rPr>
              <w:t xml:space="preserve">4.</w:t>
            </w:r>
          </w:p>
        </w:tc>
        <w:tc>
          <w:tcPr>
            <w:tcW w:type="dxa" w:w="29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rPr>
              <w:t xml:space="preserve">Principal Investigator with designation</w:t>
            </w:r>
          </w:p>
        </w:tc>
        <w:tc>
          <w:tcPr>
            <w:tcW w:type="dxa" w:w="30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2"/>
                <w:szCs w:val="22"/>
              </w:rPr>
              <w:t xml:space="preserve">:</w:t>
            </w:r>
          </w:p>
        </w:tc>
        <w:tc>
          <w:tcPr>
            <w:tcW w:type="dxa" w:w="526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2"/>
                <w:szCs w:val="22"/>
                <w:highlight w:val="yellow"/>
                <w:highlightCs w:val="yellow"/>
              </w:rPr>
              <w:t xml:space="preserve">[Name of Faculty Guide]</w:t>
            </w:r>
            <w:r>
              <w:rPr>
                <w:rFonts w:ascii="Times New Roman" w:cs="Times New Roman" w:eastAsia="Times New Roman" w:hAnsi="Times New Roman"/>
                <w:b w:val="false"/>
                <w:bCs w:val="false"/>
                <w:i w:val="false"/>
                <w:iCs w:val="false"/>
                <w:sz w:val="22"/>
                <w:szCs w:val="22"/>
                <w:highlight w:val="yellow"/>
                <w:highlightCs w:val="yellow"/>
              </w:rPr>
              <w:t xml:space="preserve">, [Designation], Department of CSE (IoT &amp; CSBCT), CBIT</w:t>
            </w:r>
          </w:p>
        </w:tc>
      </w:tr>
      <w:tr>
        <w:tc>
          <w:tcPr>
            <w:tcW w:type="dxa" w:w="56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rPr>
              <w:t xml:space="preserve">5.</w:t>
            </w:r>
          </w:p>
        </w:tc>
        <w:tc>
          <w:tcPr>
            <w:tcW w:type="dxa" w:w="29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rPr>
              <w:t xml:space="preserve">Co-Investigator(s) with Designation(s)</w:t>
            </w:r>
          </w:p>
        </w:tc>
        <w:tc>
          <w:tcPr>
            <w:tcW w:type="dxa" w:w="30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2"/>
                <w:szCs w:val="22"/>
              </w:rPr>
              <w:t xml:space="preserve">:</w:t>
            </w:r>
          </w:p>
        </w:tc>
        <w:tc>
          <w:tcPr>
            <w:tcW w:type="dxa" w:w="526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highlight w:val="yellow"/>
                <w:highlightCs w:val="yellow"/>
              </w:rPr>
              <w:t xml:space="preserve">[Name, Designation — if a second faculty member is to be included]</w:t>
            </w:r>
          </w:p>
        </w:tc>
      </w:tr>
      <w:tr>
        <w:tc>
          <w:tcPr>
            <w:tcW w:type="dxa" w:w="56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rPr>
              <w:t xml:space="preserve">6.</w:t>
            </w:r>
          </w:p>
        </w:tc>
        <w:tc>
          <w:tcPr>
            <w:tcW w:type="dxa" w:w="29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rPr>
              <w:t xml:space="preserve">Proposed student particulars (BE/ME)</w:t>
            </w:r>
          </w:p>
        </w:tc>
        <w:tc>
          <w:tcPr>
            <w:tcW w:type="dxa" w:w="30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2"/>
                <w:szCs w:val="22"/>
              </w:rPr>
              <w:t xml:space="preserve">:</w:t>
            </w:r>
          </w:p>
        </w:tc>
        <w:tc>
          <w:tcPr>
            <w:tcW w:type="dxa" w:w="526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2"/>
                <w:szCs w:val="22"/>
              </w:rPr>
              <w:t xml:space="preserve">1. V Pranav</w:t>
            </w:r>
            <w:r>
              <w:rPr>
                <w:rFonts w:ascii="Times New Roman" w:cs="Times New Roman" w:eastAsia="Times New Roman" w:hAnsi="Times New Roman"/>
                <w:b w:val="false"/>
                <w:bCs w:val="false"/>
                <w:i w:val="false"/>
                <w:iCs w:val="false"/>
                <w:sz w:val="22"/>
                <w:szCs w:val="22"/>
              </w:rPr>
              <w:t xml:space="preserve">  —  Roll No. 160125749063</w:t>
            </w:r>
          </w:p>
          <w:p>
            <w:pPr>
              <w:spacing w:after="60" w:before="0" w:line="260"/>
            </w:pPr>
            <w:r>
              <w:rPr>
                <w:rFonts w:ascii="Times New Roman" w:cs="Times New Roman" w:eastAsia="Times New Roman" w:hAnsi="Times New Roman"/>
                <w:b w:val="false"/>
                <w:bCs w:val="false"/>
                <w:i/>
                <w:iCs/>
                <w:sz w:val="21"/>
                <w:szCs w:val="21"/>
              </w:rPr>
              <w:t xml:space="preserve">B.E. II Year (III Semester), CSE — IoT &amp; CSBCT</w:t>
            </w:r>
          </w:p>
          <w:p>
            <w:pPr>
              <w:spacing w:after="60" w:before="80" w:line="260"/>
            </w:pPr>
            <w:r>
              <w:rPr>
                <w:rFonts w:ascii="Times New Roman" w:cs="Times New Roman" w:eastAsia="Times New Roman" w:hAnsi="Times New Roman"/>
                <w:b/>
                <w:bCs/>
                <w:i w:val="false"/>
                <w:iCs w:val="false"/>
                <w:sz w:val="22"/>
                <w:szCs w:val="22"/>
              </w:rPr>
              <w:t xml:space="preserve">2. K Sai Rithvik Reddy</w:t>
            </w:r>
            <w:r>
              <w:rPr>
                <w:rFonts w:ascii="Times New Roman" w:cs="Times New Roman" w:eastAsia="Times New Roman" w:hAnsi="Times New Roman"/>
                <w:b w:val="false"/>
                <w:bCs w:val="false"/>
                <w:i w:val="false"/>
                <w:iCs w:val="false"/>
                <w:sz w:val="22"/>
                <w:szCs w:val="22"/>
              </w:rPr>
              <w:t xml:space="preserve">  —  Roll No. 160125749026</w:t>
            </w:r>
          </w:p>
          <w:p>
            <w:pPr>
              <w:spacing w:after="60" w:before="0" w:line="260"/>
            </w:pPr>
            <w:r>
              <w:rPr>
                <w:rFonts w:ascii="Times New Roman" w:cs="Times New Roman" w:eastAsia="Times New Roman" w:hAnsi="Times New Roman"/>
                <w:b w:val="false"/>
                <w:bCs w:val="false"/>
                <w:i/>
                <w:iCs/>
                <w:sz w:val="21"/>
                <w:szCs w:val="21"/>
              </w:rPr>
              <w:t xml:space="preserve">B.E. II Year (III Semester), CSE — IoT &amp; CSBCT</w:t>
            </w:r>
          </w:p>
        </w:tc>
      </w:tr>
      <w:tr>
        <w:tc>
          <w:tcPr>
            <w:tcW w:type="dxa" w:w="56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rPr>
              <w:t xml:space="preserve">7.</w:t>
            </w:r>
          </w:p>
        </w:tc>
        <w:tc>
          <w:tcPr>
            <w:tcW w:type="dxa" w:w="29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rPr>
              <w:t xml:space="preserve">Duration of the project</w:t>
            </w:r>
          </w:p>
        </w:tc>
        <w:tc>
          <w:tcPr>
            <w:tcW w:type="dxa" w:w="30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2"/>
                <w:szCs w:val="22"/>
              </w:rPr>
              <w:t xml:space="preserve">:</w:t>
            </w:r>
          </w:p>
        </w:tc>
        <w:tc>
          <w:tcPr>
            <w:tcW w:type="dxa" w:w="526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2"/>
                <w:szCs w:val="22"/>
              </w:rPr>
              <w:t xml:space="preserve">12 months</w:t>
            </w:r>
          </w:p>
        </w:tc>
      </w:tr>
      <w:tr>
        <w:tc>
          <w:tcPr>
            <w:tcW w:type="dxa" w:w="56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rPr>
              <w:t xml:space="preserve">8.</w:t>
            </w:r>
          </w:p>
        </w:tc>
        <w:tc>
          <w:tcPr>
            <w:tcW w:type="dxa" w:w="29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rPr>
              <w:t xml:space="preserve">Proposed Budget (Rs.)</w:t>
            </w:r>
          </w:p>
        </w:tc>
        <w:tc>
          <w:tcPr>
            <w:tcW w:type="dxa" w:w="30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2"/>
                <w:szCs w:val="22"/>
              </w:rPr>
              <w:t xml:space="preserve">:</w:t>
            </w:r>
          </w:p>
        </w:tc>
        <w:tc>
          <w:tcPr>
            <w:tcW w:type="dxa" w:w="526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2"/>
                <w:szCs w:val="22"/>
              </w:rPr>
              <w:t>₹ 89,000 /-  (Rupees Eighty-Nine Thousand only)</w:t>
            </w:r>
          </w:p>
        </w:tc>
      </w:tr>
      <w:tr>
        <w:tc>
          <w:tcPr>
            <w:tcW w:type="dxa" w:w="56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rPr>
              <w:t xml:space="preserve">9.</w:t>
            </w:r>
          </w:p>
        </w:tc>
        <w:tc>
          <w:tcPr>
            <w:tcW w:type="dxa" w:w="8466"/>
            <w:gridSpan w:val="3"/>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2"/>
                <w:szCs w:val="22"/>
              </w:rPr>
              <w:t xml:space="preserve">Abstract of the Project Proposal (100–150 words):</w:t>
            </w:r>
          </w:p>
        </w:tc>
      </w:tr>
      <w:tr>
        <w:tc>
          <w:tcPr>
            <w:tcW w:type="dxa" w:w="9026"/>
            <w:gridSpan w:val="4"/>
            <w:tcMar>
              <w:top w:type="dxa" w:w="70"/>
              <w:left w:type="dxa" w:w="110"/>
              <w:bottom w:type="dxa" w:w="70"/>
              <w:right w:type="dxa" w:w="110"/>
            </w:tcMar>
            <w:vAlign w:val="top"/>
          </w:tcPr>
          <w:p>
            <w:pPr>
              <w:spacing w:after="60" w:before="40" w:line="260"/>
              <w:jc w:val="both"/>
            </w:pPr>
            <w:r>
              <w:rPr>
                <w:rFonts w:ascii="Times New Roman" w:cs="Times New Roman" w:eastAsia="Times New Roman" w:hAnsi="Times New Roman"/>
                <w:b w:val="false"/>
                <w:bCs w:val="false"/>
                <w:i w:val="false"/>
                <w:iCs w:val="false"/>
                <w:sz w:val="22"/>
                <w:szCs w:val="22"/>
              </w:rPr>
              <w:t xml:space="preserve">Programming lab courses at CBIT run on email attachments, pen drives and manual compilation of student code on the lecturer's own machine, with no safeguard against copying during timed assessments. LabSubmit is a role-based web platform that replaces this end-to-end: roll-number-gated registration, faculty-authored lab assignments, an in-browser IDE that compiles C, C++, Java, Python and JavaScript on the server, editor-level anti-cheat controls, automatic submission locking, and grading that students see in real time. A working prototype is already built and deployed by the applicants. This project seeks support to raise it to production standard — sandboxed per-student execution, AI-assisted similarity detection, load validation at full-section scale, and a supervised pilot leading to department-wide adoption.</w:t>
            </w:r>
          </w:p>
        </w:tc>
      </w:tr>
    </w:tbl>
    <w:p>
      <w:pPr>
        <w:spacing w:after="120" w:before="260" w:line="260"/>
      </w:pPr>
      <w:r>
        <w:rPr>
          <w:rFonts w:ascii="Times New Roman" w:cs="Times New Roman" w:eastAsia="Times New Roman" w:hAnsi="Times New Roman"/>
          <w:b/>
          <w:bCs/>
          <w:i w:val="false"/>
          <w:iCs w:val="false"/>
          <w:sz w:val="24"/>
          <w:szCs w:val="24"/>
        </w:rPr>
        <w:t xml:space="preserve">B.  Scientific / Technical Information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E8E8"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2"/>
                <w:szCs w:val="22"/>
              </w:rPr>
              <w:t xml:space="preserve">1.  </w:t>
            </w:r>
            <w:r>
              <w:rPr>
                <w:rFonts w:ascii="Times New Roman" w:cs="Times New Roman" w:eastAsia="Times New Roman" w:hAnsi="Times New Roman"/>
                <w:b/>
                <w:bCs/>
                <w:i w:val="false"/>
                <w:iCs w:val="false"/>
                <w:sz w:val="22"/>
                <w:szCs w:val="22"/>
              </w:rPr>
              <w:t xml:space="preserve">Introduction — Aim and Objectives  (Max 200 words)</w:t>
            </w:r>
          </w:p>
        </w:tc>
      </w:tr>
      <w:tr>
        <w:tc>
          <w:tcPr>
            <w:tcW w:type="dxa" w:w="9026"/>
            <w:tcMar>
              <w:top w:type="dxa" w:w="70"/>
              <w:left w:type="dxa" w:w="110"/>
              <w:bottom w:type="dxa" w:w="70"/>
              <w:right w:type="dxa" w:w="110"/>
            </w:tcMar>
            <w:vAlign w:val="top"/>
          </w:tcPr>
          <w:p>
            <w:pPr>
              <w:spacing w:after="60" w:before="40" w:line="260"/>
              <w:jc w:val="both"/>
            </w:pPr>
            <w:r>
              <w:rPr>
                <w:rFonts w:ascii="Times New Roman" w:cs="Times New Roman" w:eastAsia="Times New Roman" w:hAnsi="Times New Roman"/>
                <w:b w:val="false"/>
                <w:bCs w:val="false"/>
                <w:i w:val="false"/>
                <w:iCs w:val="false"/>
                <w:sz w:val="22"/>
                <w:szCs w:val="22"/>
              </w:rPr>
              <w:t xml:space="preserve">Every lab session requires faculty to issue coding tasks, verify that each submission compiles and runs, and record marks for every student. Today that work is split across email, pen drives and spreadsheets, code is compiled manually, and nothing prevents copy-paste during a timed assessment.</w:t>
            </w:r>
          </w:p>
          <w:p>
            <w:pPr>
              <w:spacing w:after="60" w:before="100" w:line="260"/>
              <w:jc w:val="both"/>
            </w:pPr>
            <w:r>
              <w:rPr>
                <w:rFonts w:ascii="Times New Roman" w:cs="Times New Roman" w:eastAsia="Times New Roman" w:hAnsi="Times New Roman"/>
                <w:b/>
                <w:bCs/>
                <w:i w:val="false"/>
                <w:iCs w:val="false"/>
                <w:sz w:val="22"/>
                <w:szCs w:val="22"/>
              </w:rPr>
              <w:t xml:space="preserve">Aim: </w:t>
            </w:r>
            <w:r>
              <w:rPr>
                <w:rFonts w:ascii="Times New Roman" w:cs="Times New Roman" w:eastAsia="Times New Roman" w:hAnsi="Times New Roman"/>
                <w:b w:val="false"/>
                <w:bCs w:val="false"/>
                <w:i w:val="false"/>
                <w:iCs w:val="false"/>
                <w:sz w:val="22"/>
                <w:szCs w:val="22"/>
              </w:rPr>
              <w:t xml:space="preserve">To harden and deploy a secure, self-hostable platform centralising lab authoring, in-browser code execution, integrity-protected assessment and structured evaluation.</w:t>
            </w:r>
          </w:p>
          <w:p>
            <w:pPr>
              <w:spacing w:after="40" w:before="100" w:line="260"/>
            </w:pPr>
            <w:r>
              <w:rPr>
                <w:rFonts w:ascii="Times New Roman" w:cs="Times New Roman" w:eastAsia="Times New Roman" w:hAnsi="Times New Roman"/>
                <w:b/>
                <w:bCs/>
                <w:i w:val="false"/>
                <w:iCs w:val="false"/>
                <w:sz w:val="22"/>
                <w:szCs w:val="22"/>
              </w:rPr>
              <w:t xml:space="preserve">Objectives:</w:t>
            </w:r>
          </w:p>
          <w:p>
            <w:pPr>
              <w:spacing w:after="40" w:before="20" w:line="250"/>
              <w:ind w:left="400" w:hanging="260"/>
            </w:pPr>
            <w:r>
              <w:rPr>
                <w:rFonts w:ascii="Times New Roman" w:cs="Times New Roman" w:eastAsia="Times New Roman" w:hAnsi="Times New Roman"/>
                <w:b w:val="false"/>
                <w:bCs w:val="false"/>
                <w:i w:val="false"/>
                <w:iCs w:val="false"/>
                <w:sz w:val="22"/>
                <w:szCs w:val="22"/>
              </w:rPr>
              <w:t xml:space="preserve">1. </w:t>
            </w:r>
            <w:r>
              <w:rPr>
                <w:rFonts w:ascii="Times New Roman" w:cs="Times New Roman" w:eastAsia="Times New Roman" w:hAnsi="Times New Roman"/>
                <w:b w:val="false"/>
                <w:bCs w:val="false"/>
                <w:i w:val="false"/>
                <w:iCs w:val="false"/>
                <w:sz w:val="22"/>
                <w:szCs w:val="22"/>
              </w:rPr>
              <w:t xml:space="preserve">Centralise lab authoring, submission and grading for Administrators, Faculty and Students.</w:t>
            </w:r>
          </w:p>
          <w:p>
            <w:pPr>
              <w:spacing w:after="40" w:before="20" w:line="250"/>
              <w:ind w:left="400" w:hanging="260"/>
            </w:pPr>
            <w:r>
              <w:rPr>
                <w:rFonts w:ascii="Times New Roman" w:cs="Times New Roman" w:eastAsia="Times New Roman" w:hAnsi="Times New Roman"/>
                <w:b w:val="false"/>
                <w:bCs w:val="false"/>
                <w:i w:val="false"/>
                <w:iCs w:val="false"/>
                <w:sz w:val="22"/>
                <w:szCs w:val="22"/>
              </w:rPr>
              <w:t xml:space="preserve">2. </w:t>
            </w:r>
            <w:r>
              <w:rPr>
                <w:rFonts w:ascii="Times New Roman" w:cs="Times New Roman" w:eastAsia="Times New Roman" w:hAnsi="Times New Roman"/>
                <w:b w:val="false"/>
                <w:bCs w:val="false"/>
                <w:i w:val="false"/>
                <w:iCs w:val="false"/>
                <w:sz w:val="22"/>
                <w:szCs w:val="22"/>
              </w:rPr>
              <w:t xml:space="preserve">Gate registration by Admin-authorised 12-digit roll-number ranges.</w:t>
            </w:r>
          </w:p>
          <w:p>
            <w:pPr>
              <w:spacing w:after="40" w:before="20" w:line="250"/>
              <w:ind w:left="400" w:hanging="260"/>
            </w:pPr>
            <w:r>
              <w:rPr>
                <w:rFonts w:ascii="Times New Roman" w:cs="Times New Roman" w:eastAsia="Times New Roman" w:hAnsi="Times New Roman"/>
                <w:b w:val="false"/>
                <w:bCs w:val="false"/>
                <w:i w:val="false"/>
                <w:iCs w:val="false"/>
                <w:sz w:val="22"/>
                <w:szCs w:val="22"/>
              </w:rPr>
              <w:t xml:space="preserve">3. </w:t>
            </w:r>
            <w:r>
              <w:rPr>
                <w:rFonts w:ascii="Times New Roman" w:cs="Times New Roman" w:eastAsia="Times New Roman" w:hAnsi="Times New Roman"/>
                <w:b w:val="false"/>
                <w:bCs w:val="false"/>
                <w:i w:val="false"/>
                <w:iCs w:val="false"/>
                <w:sz w:val="22"/>
                <w:szCs w:val="22"/>
              </w:rPr>
              <w:t xml:space="preserve">Compile C, C++, Java, Python and JavaScript in-browser, inside a per-student resource-limited sandbox.</w:t>
            </w:r>
          </w:p>
          <w:p>
            <w:pPr>
              <w:spacing w:after="40" w:before="20" w:line="250"/>
              <w:ind w:left="400" w:hanging="260"/>
            </w:pPr>
            <w:r>
              <w:rPr>
                <w:rFonts w:ascii="Times New Roman" w:cs="Times New Roman" w:eastAsia="Times New Roman" w:hAnsi="Times New Roman"/>
                <w:b w:val="false"/>
                <w:bCs w:val="false"/>
                <w:i w:val="false"/>
                <w:iCs w:val="false"/>
                <w:sz w:val="22"/>
                <w:szCs w:val="22"/>
              </w:rPr>
              <w:t xml:space="preserve">4. </w:t>
            </w:r>
            <w:r>
              <w:rPr>
                <w:rFonts w:ascii="Times New Roman" w:cs="Times New Roman" w:eastAsia="Times New Roman" w:hAnsi="Times New Roman"/>
                <w:b w:val="false"/>
                <w:bCs w:val="false"/>
                <w:i w:val="false"/>
                <w:iCs w:val="false"/>
                <w:sz w:val="22"/>
                <w:szCs w:val="22"/>
              </w:rPr>
              <w:t xml:space="preserve">Deter dishonesty through editor-level anti-cheat controls and AI-assisted similarity detection.</w:t>
            </w:r>
          </w:p>
          <w:p>
            <w:pPr>
              <w:spacing w:after="40" w:before="20" w:line="250"/>
              <w:ind w:left="400" w:hanging="260"/>
            </w:pPr>
            <w:r>
              <w:rPr>
                <w:rFonts w:ascii="Times New Roman" w:cs="Times New Roman" w:eastAsia="Times New Roman" w:hAnsi="Times New Roman"/>
                <w:b w:val="false"/>
                <w:bCs w:val="false"/>
                <w:i w:val="false"/>
                <w:iCs w:val="false"/>
                <w:sz w:val="22"/>
                <w:szCs w:val="22"/>
              </w:rPr>
              <w:t xml:space="preserve">5. </w:t>
            </w:r>
            <w:r>
              <w:rPr>
                <w:rFonts w:ascii="Times New Roman" w:cs="Times New Roman" w:eastAsia="Times New Roman" w:hAnsi="Times New Roman"/>
                <w:b w:val="false"/>
                <w:bCs w:val="false"/>
                <w:i w:val="false"/>
                <w:iCs w:val="false"/>
                <w:sz w:val="22"/>
                <w:szCs w:val="22"/>
              </w:rPr>
              <w:t xml:space="preserve">Validate at full-section concurrent load and pilot in a live lab course.</w:t>
            </w:r>
          </w:p>
        </w:tc>
      </w:tr>
    </w:tbl>
    <w:p>
      <w:pPr>
        <w:spacing w:after="100" w:before="40" w:line="260"/>
      </w:pPr>
      <w:r>
        <w:rPr>
          <w:rFonts w:ascii="Times New Roman" w:cs="Times New Roman" w:eastAsia="Times New Roman" w:hAnsi="Times New Roman"/>
          <w:b w:val="false"/>
          <w:bCs w:val="false"/>
          <w:i w:val="false"/>
          <w:iCs w:val="false"/>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E8E8"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2"/>
                <w:szCs w:val="22"/>
              </w:rPr>
              <w:t xml:space="preserve">2.  </w:t>
            </w:r>
            <w:r>
              <w:rPr>
                <w:rFonts w:ascii="Times New Roman" w:cs="Times New Roman" w:eastAsia="Times New Roman" w:hAnsi="Times New Roman"/>
                <w:b/>
                <w:bCs/>
                <w:i w:val="false"/>
                <w:iCs w:val="false"/>
                <w:sz w:val="22"/>
                <w:szCs w:val="22"/>
              </w:rPr>
              <w:t xml:space="preserve">Methodology  (Max 300 words)</w:t>
            </w:r>
          </w:p>
        </w:tc>
      </w:tr>
      <w:tr>
        <w:tc>
          <w:tcPr>
            <w:tcW w:type="dxa" w:w="9026"/>
            <w:tcMar>
              <w:top w:type="dxa" w:w="70"/>
              <w:left w:type="dxa" w:w="110"/>
              <w:bottom w:type="dxa" w:w="70"/>
              <w:right w:type="dxa" w:w="110"/>
            </w:tcMar>
            <w:vAlign w:val="top"/>
          </w:tcPr>
          <w:p>
            <w:pPr>
              <w:spacing w:after="60" w:before="80" w:line="260"/>
              <w:jc w:val="both"/>
            </w:pPr>
            <w:r>
              <w:rPr>
                <w:rFonts w:ascii="Times New Roman" w:cs="Times New Roman" w:eastAsia="Times New Roman" w:hAnsi="Times New Roman"/>
                <w:b/>
                <w:bCs/>
                <w:i w:val="false"/>
                <w:iCs w:val="false"/>
                <w:sz w:val="22"/>
                <w:szCs w:val="22"/>
              </w:rPr>
              <w:t xml:space="preserve">Architecture. </w:t>
            </w:r>
            <w:r>
              <w:rPr>
                <w:rFonts w:ascii="Times New Roman" w:cs="Times New Roman" w:eastAsia="Times New Roman" w:hAnsi="Times New Roman"/>
                <w:b w:val="false"/>
                <w:bCs w:val="false"/>
                <w:i w:val="false"/>
                <w:iCs w:val="false"/>
                <w:sz w:val="22"/>
                <w:szCs w:val="22"/>
              </w:rPr>
              <w:t xml:space="preserve">Next.js 14 with TypeScript and Tailwind, embedding the Monaco editor as a multi-file workspace; Next.js API routes with a Node.js WebSocket service; Prisma ORM over PostgreSQL. Signed JWT tokens govern access, every endpoint re-verifies the caller's role, and passwords are stored only as bcrypt hashes.</w:t>
            </w:r>
          </w:p>
          <w:p>
            <w:pPr>
              <w:spacing w:after="60" w:before="80" w:line="260"/>
              <w:jc w:val="both"/>
            </w:pPr>
            <w:r>
              <w:rPr>
                <w:rFonts w:ascii="Times New Roman" w:cs="Times New Roman" w:eastAsia="Times New Roman" w:hAnsi="Times New Roman"/>
                <w:b/>
                <w:bCs/>
                <w:i w:val="false"/>
                <w:iCs w:val="false"/>
                <w:sz w:val="22"/>
                <w:szCs w:val="22"/>
              </w:rPr>
              <w:t xml:space="preserve">Execution. </w:t>
            </w:r>
            <w:r>
              <w:rPr>
                <w:rFonts w:ascii="Times New Roman" w:cs="Times New Roman" w:eastAsia="Times New Roman" w:hAnsi="Times New Roman"/>
                <w:b w:val="false"/>
                <w:bCs w:val="false"/>
                <w:i w:val="false"/>
                <w:iCs w:val="false"/>
                <w:sz w:val="22"/>
                <w:szCs w:val="22"/>
              </w:rPr>
              <w:t xml:space="preserve">Code never runs in the browser. The server verifies identity, workspace ownership and assessment window, then compiles inside a Docker container carrying GCC, G++, OpenJDK 17, Python 3 and Node.js. The present shared container is replaced by a per-student sandbox with CPU, memory and time limits.</w:t>
            </w:r>
          </w:p>
          <w:p>
            <w:pPr>
              <w:spacing w:after="60" w:before="80" w:line="260"/>
              <w:jc w:val="both"/>
            </w:pPr>
            <w:r>
              <w:rPr>
                <w:rFonts w:ascii="Times New Roman" w:cs="Times New Roman" w:eastAsia="Times New Roman" w:hAnsi="Times New Roman"/>
                <w:b/>
                <w:bCs/>
                <w:i w:val="false"/>
                <w:iCs w:val="false"/>
                <w:sz w:val="22"/>
                <w:szCs w:val="22"/>
              </w:rPr>
              <w:t xml:space="preserve">Integrity. </w:t>
            </w:r>
            <w:r>
              <w:rPr>
                <w:rFonts w:ascii="Times New Roman" w:cs="Times New Roman" w:eastAsia="Times New Roman" w:hAnsi="Times New Roman"/>
                <w:b w:val="false"/>
                <w:bCs w:val="false"/>
                <w:i w:val="false"/>
                <w:iCs w:val="false"/>
                <w:sz w:val="22"/>
                <w:szCs w:val="22"/>
              </w:rPr>
              <w:t xml:space="preserve">Copy, paste, right-click and shortcuts are blocked in the editor and fullscreen exits are logged, supplemented by token-level similarity comparison across a section; a language model explains flagged pairs and drafts remarks for faculty review. No mark is assigned automatically.</w:t>
            </w:r>
          </w:p>
          <w:p>
            <w:pPr>
              <w:spacing w:after="60" w:before="80" w:line="260"/>
              <w:jc w:val="both"/>
            </w:pPr>
            <w:r>
              <w:rPr>
                <w:rFonts w:ascii="Times New Roman" w:cs="Times New Roman" w:eastAsia="Times New Roman" w:hAnsi="Times New Roman"/>
                <w:b/>
                <w:bCs/>
                <w:i w:val="false"/>
                <w:iCs w:val="false"/>
                <w:sz w:val="22"/>
                <w:szCs w:val="22"/>
              </w:rPr>
              <w:t xml:space="preserve">Validation. </w:t>
            </w:r>
            <w:r>
              <w:rPr>
                <w:rFonts w:ascii="Times New Roman" w:cs="Times New Roman" w:eastAsia="Times New Roman" w:hAnsi="Times New Roman"/>
                <w:b w:val="false"/>
                <w:bCs w:val="false"/>
                <w:i w:val="false"/>
                <w:iCs w:val="false"/>
                <w:sz w:val="22"/>
                <w:szCs w:val="22"/>
              </w:rPr>
              <w:t xml:space="preserve">Modules are unit- and integration-tested, then load-tested at 60 and 300 concurrent compilations. The Docker image runs unchanged on cloud hosting or a college virtual machine, and a supervised pilot precedes any rollout.</w:t>
            </w:r>
          </w:p>
        </w:tc>
      </w:tr>
    </w:tbl>
    <w:p>
      <w:pPr>
        <w:spacing w:after="100" w:before="40" w:line="260"/>
      </w:pPr>
      <w:r>
        <w:rPr>
          <w:rFonts w:ascii="Times New Roman" w:cs="Times New Roman" w:eastAsia="Times New Roman" w:hAnsi="Times New Roman"/>
          <w:b w:val="false"/>
          <w:bCs w:val="false"/>
          <w:i w:val="false"/>
          <w:iCs w:val="false"/>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E8E8"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2"/>
                <w:szCs w:val="22"/>
              </w:rPr>
              <w:t xml:space="preserve">3.  </w:t>
            </w:r>
            <w:r>
              <w:rPr>
                <w:rFonts w:ascii="Times New Roman" w:cs="Times New Roman" w:eastAsia="Times New Roman" w:hAnsi="Times New Roman"/>
                <w:b/>
                <w:bCs/>
                <w:i w:val="false"/>
                <w:iCs w:val="false"/>
                <w:sz w:val="22"/>
                <w:szCs w:val="22"/>
              </w:rPr>
              <w:t xml:space="preserve">Summary of the work to be carried out (about 200 words)</w:t>
            </w:r>
          </w:p>
        </w:tc>
      </w:tr>
      <w:tr>
        <w:tc>
          <w:tcPr>
            <w:tcW w:type="dxa" w:w="9026"/>
            <w:tcMar>
              <w:top w:type="dxa" w:w="70"/>
              <w:left w:type="dxa" w:w="110"/>
              <w:bottom w:type="dxa" w:w="70"/>
              <w:right w:type="dxa" w:w="110"/>
            </w:tcMar>
            <w:vAlign w:val="top"/>
          </w:tcPr>
          <w:p>
            <w:pPr>
              <w:spacing w:after="60" w:before="60" w:line="260"/>
              <w:jc w:val="both"/>
            </w:pPr>
            <w:r>
              <w:rPr>
                <w:rFonts w:ascii="Times New Roman" w:cs="Times New Roman" w:eastAsia="Times New Roman" w:hAnsi="Times New Roman"/>
                <w:b/>
                <w:bCs/>
                <w:i w:val="false"/>
                <w:iCs w:val="false"/>
                <w:sz w:val="22"/>
                <w:szCs w:val="22"/>
              </w:rPr>
              <w:t xml:space="preserve">Production hardening. </w:t>
            </w:r>
            <w:r>
              <w:rPr>
                <w:rFonts w:ascii="Times New Roman" w:cs="Times New Roman" w:eastAsia="Times New Roman" w:hAnsi="Times New Roman"/>
                <w:b w:val="false"/>
                <w:bCs w:val="false"/>
                <w:i w:val="false"/>
                <w:iCs w:val="false"/>
                <w:sz w:val="22"/>
                <w:szCs w:val="22"/>
              </w:rPr>
              <w:t xml:space="preserve">Per-student execution sandboxes with CPU, memory and process limits, an execution queue, and failure alerts during live sessions.</w:t>
            </w:r>
          </w:p>
          <w:p>
            <w:pPr>
              <w:spacing w:after="60" w:before="60" w:line="260"/>
              <w:jc w:val="both"/>
            </w:pPr>
            <w:r>
              <w:rPr>
                <w:rFonts w:ascii="Times New Roman" w:cs="Times New Roman" w:eastAsia="Times New Roman" w:hAnsi="Times New Roman"/>
                <w:b/>
                <w:bCs/>
                <w:i w:val="false"/>
                <w:iCs w:val="false"/>
                <w:sz w:val="22"/>
                <w:szCs w:val="22"/>
              </w:rPr>
              <w:t xml:space="preserve">Integrity module. </w:t>
            </w:r>
            <w:r>
              <w:rPr>
                <w:rFonts w:ascii="Times New Roman" w:cs="Times New Roman" w:eastAsia="Times New Roman" w:hAnsi="Times New Roman"/>
                <w:b w:val="false"/>
                <w:bCs w:val="false"/>
                <w:i w:val="false"/>
                <w:iCs w:val="false"/>
                <w:sz w:val="22"/>
                <w:szCs w:val="22"/>
              </w:rPr>
              <w:t xml:space="preserve">Structural similarity comparison across a section, fullscreen telemetry, and AI-drafted explanations and remarks that faculty accept, edit or discard.</w:t>
            </w:r>
          </w:p>
          <w:p>
            <w:pPr>
              <w:spacing w:after="60" w:before="60" w:line="260"/>
              <w:jc w:val="both"/>
            </w:pPr>
            <w:r>
              <w:rPr>
                <w:rFonts w:ascii="Times New Roman" w:cs="Times New Roman" w:eastAsia="Times New Roman" w:hAnsi="Times New Roman"/>
                <w:b/>
                <w:bCs/>
                <w:i w:val="false"/>
                <w:iCs w:val="false"/>
                <w:sz w:val="22"/>
                <w:szCs w:val="22"/>
              </w:rPr>
              <w:t xml:space="preserve">Faculty tooling. </w:t>
            </w:r>
            <w:r>
              <w:rPr>
                <w:rFonts w:ascii="Times New Roman" w:cs="Times New Roman" w:eastAsia="Times New Roman" w:hAnsi="Times New Roman"/>
                <w:b w:val="false"/>
                <w:bCs w:val="false"/>
                <w:i w:val="false"/>
                <w:iCs w:val="false"/>
                <w:sz w:val="22"/>
                <w:szCs w:val="22"/>
              </w:rPr>
              <w:t xml:space="preserve">Test cases and reference solutions per lab, batch execution of a section, mark-sheet export and accreditation reports.</w:t>
            </w:r>
          </w:p>
          <w:p>
            <w:pPr>
              <w:spacing w:after="60" w:before="60" w:line="260"/>
              <w:jc w:val="both"/>
            </w:pPr>
            <w:r>
              <w:rPr>
                <w:rFonts w:ascii="Times New Roman" w:cs="Times New Roman" w:eastAsia="Times New Roman" w:hAnsi="Times New Roman"/>
                <w:b/>
                <w:bCs/>
                <w:i w:val="false"/>
                <w:iCs w:val="false"/>
                <w:sz w:val="22"/>
                <w:szCs w:val="22"/>
              </w:rPr>
              <w:t xml:space="preserve">Validation and rollout. </w:t>
            </w:r>
            <w:r>
              <w:rPr>
                <w:rFonts w:ascii="Times New Roman" w:cs="Times New Roman" w:eastAsia="Times New Roman" w:hAnsi="Times New Roman"/>
                <w:b w:val="false"/>
                <w:bCs w:val="false"/>
                <w:i w:val="false"/>
                <w:iCs w:val="false"/>
                <w:sz w:val="22"/>
                <w:szCs w:val="22"/>
              </w:rPr>
              <w:t xml:space="preserve">Load testing at 60 and 300 concurrent compilations, a supervised pilot in one lab course, then expansion on faculty feedback.</w:t>
            </w:r>
          </w:p>
          <w:p>
            <w:pPr>
              <w:spacing w:after="60" w:before="60" w:line="260"/>
              <w:jc w:val="both"/>
            </w:pPr>
            <w:r>
              <w:rPr>
                <w:rFonts w:ascii="Times New Roman" w:cs="Times New Roman" w:eastAsia="Times New Roman" w:hAnsi="Times New Roman"/>
                <w:b/>
                <w:bCs/>
                <w:i w:val="false"/>
                <w:iCs w:val="false"/>
                <w:sz w:val="22"/>
                <w:szCs w:val="22"/>
              </w:rPr>
              <w:t xml:space="preserve">Handover. </w:t>
            </w:r>
            <w:r>
              <w:rPr>
                <w:rFonts w:ascii="Times New Roman" w:cs="Times New Roman" w:eastAsia="Times New Roman" w:hAnsi="Times New Roman"/>
                <w:b w:val="false"/>
                <w:bCs w:val="false"/>
                <w:i w:val="false"/>
                <w:iCs w:val="false"/>
                <w:sz w:val="22"/>
                <w:szCs w:val="22"/>
              </w:rPr>
              <w:t xml:space="preserve">Source code, schema, deployment guide and administrator manual delivered to the Department, so later project batches can maintain it.</w:t>
            </w:r>
          </w:p>
        </w:tc>
      </w:tr>
    </w:tbl>
    <w:p>
      <w:pPr>
        <w:spacing w:after="100" w:before="40" w:line="260"/>
      </w:pPr>
      <w:r>
        <w:rPr>
          <w:rFonts w:ascii="Times New Roman" w:cs="Times New Roman" w:eastAsia="Times New Roman" w:hAnsi="Times New Roman"/>
          <w:b w:val="false"/>
          <w:bCs w:val="false"/>
          <w:i w:val="false"/>
          <w:iCs w:val="false"/>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E8E8"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2"/>
                <w:szCs w:val="22"/>
              </w:rPr>
              <w:t xml:space="preserve">4.  </w:t>
            </w:r>
            <w:r>
              <w:rPr>
                <w:rFonts w:ascii="Times New Roman" w:cs="Times New Roman" w:eastAsia="Times New Roman" w:hAnsi="Times New Roman"/>
                <w:b/>
                <w:bCs/>
                <w:i w:val="false"/>
                <w:iCs w:val="false"/>
                <w:sz w:val="22"/>
                <w:szCs w:val="22"/>
              </w:rPr>
              <w:t xml:space="preserve">Expected outcomes of the Proposal</w:t>
            </w:r>
          </w:p>
        </w:tc>
      </w:tr>
      <w:tr>
        <w:tc>
          <w:tcPr>
            <w:tcW w:type="dxa" w:w="9026"/>
            <w:tcMar>
              <w:top w:type="dxa" w:w="70"/>
              <w:left w:type="dxa" w:w="110"/>
              <w:bottom w:type="dxa" w:w="70"/>
              <w:right w:type="dxa" w:w="110"/>
            </w:tcMar>
            <w:vAlign w:val="top"/>
          </w:tcPr>
          <w:p>
            <w:pPr>
              <w:spacing w:after="40" w:before="20" w:line="250"/>
              <w:ind w:left="340" w:hanging="20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A production-ready, self-hostable lab platform in departmental use, built entirely on open-source components with no licence cost.</w:t>
            </w:r>
          </w:p>
          <w:p>
            <w:pPr>
              <w:spacing w:after="40" w:before="20" w:line="250"/>
              <w:ind w:left="340" w:hanging="20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Pen-drive and email submission handling, and manual compilation of student code by faculty, eliminated.</w:t>
            </w:r>
          </w:p>
          <w:p>
            <w:pPr>
              <w:spacing w:after="40" w:before="20" w:line="250"/>
              <w:ind w:left="340" w:hanging="20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Sandboxed execution with measured, documented behaviour at 60 and 300 concurrent compilations.</w:t>
            </w:r>
          </w:p>
          <w:p>
            <w:pPr>
              <w:spacing w:after="40" w:before="20" w:line="250"/>
              <w:ind w:left="340" w:hanging="20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A similarity report for every lab, plus consistent marks, remarks and an auditable submission trail across sections.</w:t>
            </w:r>
          </w:p>
          <w:p>
            <w:pPr>
              <w:spacing w:after="40" w:before="20" w:line="250"/>
              <w:ind w:left="340" w:hanging="200"/>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Exportable data for NBA / NAAC outcome-based reporting, and a full handover package transferring ownership to the Department.</w:t>
            </w:r>
          </w:p>
        </w:tc>
      </w:tr>
    </w:tbl>
    <w:p>
      <w:pPr>
        <w:spacing w:after="100" w:before="40" w:line="260"/>
      </w:pPr>
      <w:r>
        <w:rPr>
          <w:rFonts w:ascii="Times New Roman" w:cs="Times New Roman" w:eastAsia="Times New Roman" w:hAnsi="Times New Roman"/>
          <w:b w:val="false"/>
          <w:bCs w:val="false"/>
          <w:i w:val="false"/>
          <w:iCs w:val="false"/>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E8E8"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2"/>
                <w:szCs w:val="22"/>
              </w:rPr>
              <w:t xml:space="preserve">5.  </w:t>
            </w:r>
            <w:r>
              <w:rPr>
                <w:rFonts w:ascii="Times New Roman" w:cs="Times New Roman" w:eastAsia="Times New Roman" w:hAnsi="Times New Roman"/>
                <w:b/>
                <w:bCs/>
                <w:i w:val="false"/>
                <w:iCs w:val="false"/>
                <w:sz w:val="22"/>
                <w:szCs w:val="22"/>
              </w:rPr>
              <w:t xml:space="preserve">Work plan / PERT chart</w:t>
            </w:r>
          </w:p>
        </w:tc>
      </w:tr>
      <w:tr>
        <w:tc>
          <w:tcPr>
            <w:tcW w:type="dxa" w:w="9026"/>
            <w:tcMar>
              <w:top w:type="dxa" w:w="70"/>
              <w:left w:type="dxa" w:w="110"/>
              <w:bottom w:type="dxa" w:w="70"/>
              <w:right w:type="dxa" w:w="110"/>
            </w:tcMar>
            <w:vAlign w:val="top"/>
          </w:tcPr>
          <w:p>
            <w:pPr>
              <w:spacing w:after="120" w:before="40" w:line="260"/>
            </w:pPr>
            <w:r>
              <w:rPr>
                <w:rFonts w:ascii="Times New Roman" w:cs="Times New Roman" w:eastAsia="Times New Roman" w:hAnsi="Times New Roman"/>
                <w:b w:val="false"/>
                <w:bCs w:val="false"/>
                <w:i w:val="false"/>
                <w:iCs w:val="false"/>
                <w:sz w:val="22"/>
                <w:szCs w:val="22"/>
              </w:rPr>
              <w:t xml:space="preserve">Twelve months in five phases; P3 overlaps P2 by one month, once the sandbox is functional.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700"/>
              <w:gridCol w:w="1140"/>
              <w:gridCol w:w="3386"/>
            </w:tblGrid>
            <w:tr>
              <w:trPr>
                <w:tblHeader/>
              </w:trPr>
              <w:tc>
                <w:tcPr>
                  <w:tcW w:type="dxa" w:w="800"/>
                  <w:shd w:fill="D6D6D6" w:color="auto" w:val="clear"/>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21"/>
                      <w:szCs w:val="21"/>
                    </w:rPr>
                    <w:t xml:space="preserve">Phase</w:t>
                  </w:r>
                </w:p>
              </w:tc>
              <w:tc>
                <w:tcPr>
                  <w:tcW w:type="dxa" w:w="3700"/>
                  <w:shd w:fill="D6D6D6"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1"/>
                      <w:szCs w:val="21"/>
                    </w:rPr>
                    <w:t xml:space="preserve">Activity</w:t>
                  </w:r>
                </w:p>
              </w:tc>
              <w:tc>
                <w:tcPr>
                  <w:tcW w:type="dxa" w:w="1140"/>
                  <w:shd w:fill="D6D6D6" w:color="auto" w:val="clear"/>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21"/>
                      <w:szCs w:val="21"/>
                    </w:rPr>
                    <w:t xml:space="preserve">Timeline</w:t>
                  </w:r>
                </w:p>
              </w:tc>
              <w:tc>
                <w:tcPr>
                  <w:tcW w:type="dxa" w:w="3386"/>
                  <w:shd w:fill="D6D6D6"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1"/>
                      <w:szCs w:val="21"/>
                    </w:rPr>
                    <w:t xml:space="preserve">Deliverable</w:t>
                  </w:r>
                </w:p>
              </w:tc>
            </w:tr>
            <w:tr>
              <w:tc>
                <w:tcPr>
                  <w:tcW w:type="dxa" w:w="80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21"/>
                      <w:szCs w:val="21"/>
                    </w:rPr>
                    <w:t xml:space="preserve">P1</w:t>
                  </w:r>
                </w:p>
              </w:tc>
              <w:tc>
                <w:tcPr>
                  <w:tcW w:type="dxa" w:w="37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1"/>
                      <w:szCs w:val="21"/>
                    </w:rPr>
                    <w:t xml:space="preserve">Requirement study with lab faculty; finalise evaluation rubric, roles and pilot scope.</w:t>
                  </w:r>
                </w:p>
              </w:tc>
              <w:tc>
                <w:tcPr>
                  <w:tcW w:type="dxa" w:w="114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1"/>
                      <w:szCs w:val="21"/>
                    </w:rPr>
                    <w:t xml:space="preserve">M1 – M2</w:t>
                  </w:r>
                </w:p>
              </w:tc>
              <w:tc>
                <w:tcPr>
                  <w:tcW w:type="dxa" w:w="338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1"/>
                      <w:szCs w:val="21"/>
                    </w:rPr>
                    <w:t xml:space="preserve">Requirement and rubric document</w:t>
                  </w:r>
                </w:p>
              </w:tc>
            </w:tr>
            <w:tr>
              <w:tc>
                <w:tcPr>
                  <w:tcW w:type="dxa" w:w="80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21"/>
                      <w:szCs w:val="21"/>
                    </w:rPr>
                    <w:t xml:space="preserve">P2</w:t>
                  </w:r>
                </w:p>
              </w:tc>
              <w:tc>
                <w:tcPr>
                  <w:tcW w:type="dxa" w:w="37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1"/>
                      <w:szCs w:val="21"/>
                    </w:rPr>
                    <w:t xml:space="preserve">Execution-engine hardening: per-student sandbox with CPU / memory / time limits and execution queue.</w:t>
                  </w:r>
                </w:p>
              </w:tc>
              <w:tc>
                <w:tcPr>
                  <w:tcW w:type="dxa" w:w="114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1"/>
                      <w:szCs w:val="21"/>
                    </w:rPr>
                    <w:t xml:space="preserve">M2 – M5</w:t>
                  </w:r>
                </w:p>
              </w:tc>
              <w:tc>
                <w:tcPr>
                  <w:tcW w:type="dxa" w:w="338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1"/>
                      <w:szCs w:val="21"/>
                    </w:rPr>
                    <w:t xml:space="preserve">Isolated execution engine</w:t>
                  </w:r>
                </w:p>
              </w:tc>
            </w:tr>
            <w:tr>
              <w:tc>
                <w:tcPr>
                  <w:tcW w:type="dxa" w:w="80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21"/>
                      <w:szCs w:val="21"/>
                    </w:rPr>
                    <w:t xml:space="preserve">P3</w:t>
                  </w:r>
                </w:p>
              </w:tc>
              <w:tc>
                <w:tcPr>
                  <w:tcW w:type="dxa" w:w="37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1"/>
                      <w:szCs w:val="21"/>
                    </w:rPr>
                    <w:t xml:space="preserve">Integrity and faculty tooling: similarity engine, telemetry, test cases, mark-sheet export.</w:t>
                  </w:r>
                </w:p>
              </w:tc>
              <w:tc>
                <w:tcPr>
                  <w:tcW w:type="dxa" w:w="114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1"/>
                      <w:szCs w:val="21"/>
                    </w:rPr>
                    <w:t xml:space="preserve">M4 – M7</w:t>
                  </w:r>
                </w:p>
              </w:tc>
              <w:tc>
                <w:tcPr>
                  <w:tcW w:type="dxa" w:w="338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1"/>
                      <w:szCs w:val="21"/>
                    </w:rPr>
                    <w:t xml:space="preserve">Integrity and evaluation suite</w:t>
                  </w:r>
                </w:p>
              </w:tc>
            </w:tr>
            <w:tr>
              <w:tc>
                <w:tcPr>
                  <w:tcW w:type="dxa" w:w="80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21"/>
                      <w:szCs w:val="21"/>
                    </w:rPr>
                    <w:t xml:space="preserve">P4</w:t>
                  </w:r>
                </w:p>
              </w:tc>
              <w:tc>
                <w:tcPr>
                  <w:tcW w:type="dxa" w:w="37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1"/>
                      <w:szCs w:val="21"/>
                    </w:rPr>
                    <w:t xml:space="preserve">Load and security testing at 60 and 300 concurrent compilations; role-boundary checks.</w:t>
                  </w:r>
                </w:p>
              </w:tc>
              <w:tc>
                <w:tcPr>
                  <w:tcW w:type="dxa" w:w="114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1"/>
                      <w:szCs w:val="21"/>
                    </w:rPr>
                    <w:t xml:space="preserve">M7 – M9</w:t>
                  </w:r>
                </w:p>
              </w:tc>
              <w:tc>
                <w:tcPr>
                  <w:tcW w:type="dxa" w:w="338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1"/>
                      <w:szCs w:val="21"/>
                    </w:rPr>
                    <w:t xml:space="preserve">Load and security test report</w:t>
                  </w:r>
                </w:p>
              </w:tc>
            </w:tr>
            <w:tr>
              <w:tc>
                <w:tcPr>
                  <w:tcW w:type="dxa" w:w="80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21"/>
                      <w:szCs w:val="21"/>
                    </w:rPr>
                    <w:t xml:space="preserve">P5</w:t>
                  </w:r>
                </w:p>
              </w:tc>
              <w:tc>
                <w:tcPr>
                  <w:tcW w:type="dxa" w:w="37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1"/>
                      <w:szCs w:val="21"/>
                    </w:rPr>
                    <w:t xml:space="preserve">Supervised pilot, department-wide rollout, documentation and handover.</w:t>
                  </w:r>
                </w:p>
              </w:tc>
              <w:tc>
                <w:tcPr>
                  <w:tcW w:type="dxa" w:w="114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1"/>
                      <w:szCs w:val="21"/>
                    </w:rPr>
                    <w:t xml:space="preserve">M9 – M12</w:t>
                  </w:r>
                </w:p>
              </w:tc>
              <w:tc>
                <w:tcPr>
                  <w:tcW w:type="dxa" w:w="338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1"/>
                      <w:szCs w:val="21"/>
                    </w:rPr>
                    <w:t xml:space="preserve">Deployed platform + handover kit</w:t>
                  </w:r>
                </w:p>
              </w:tc>
            </w:tr>
          </w:tbl>
          <w:p>
            <w:pPr>
              <w:spacing w:after="40" w:before="180" w:line="260"/>
            </w:pPr>
            <w:r>
              <w:rPr>
                <w:rFonts w:ascii="Times New Roman" w:cs="Times New Roman" w:eastAsia="Times New Roman" w:hAnsi="Times New Roman"/>
                <w:b/>
                <w:bCs/>
                <w:i w:val="false"/>
                <w:iCs w:val="false"/>
                <w:sz w:val="22"/>
                <w:szCs w:val="22"/>
              </w:rPr>
              <w:t xml:space="preserve">PERT sequence:  </w:t>
            </w:r>
            <w:r>
              <w:rPr>
                <w:rFonts w:ascii="Times New Roman" w:cs="Times New Roman" w:eastAsia="Times New Roman" w:hAnsi="Times New Roman"/>
                <w:b/>
                <w:bCs/>
                <w:i w:val="false"/>
                <w:iCs w:val="false"/>
                <w:sz w:val="22"/>
                <w:szCs w:val="22"/>
              </w:rPr>
              <w:t xml:space="preserve">P1 → P2 → P3 → P4 → P5</w:t>
            </w:r>
          </w:p>
          <w:p>
            <w:pPr>
              <w:spacing w:after="160" w:before="40" w:line="260"/>
            </w:pPr>
            <w:r>
              <w:rPr>
                <w:rFonts w:ascii="Times New Roman" w:cs="Times New Roman" w:eastAsia="Times New Roman" w:hAnsi="Times New Roman"/>
                <w:b w:val="false"/>
                <w:bCs w:val="false"/>
                <w:i/>
                <w:iCs/>
                <w:sz w:val="21"/>
                <w:szCs w:val="21"/>
              </w:rPr>
              <w:t xml:space="preserve">Critical path runs through all five phases (12 months); P3 carries one month of float.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600"/>
              <w:gridCol w:w="600"/>
              <w:gridCol w:w="600"/>
              <w:gridCol w:w="600"/>
              <w:gridCol w:w="600"/>
              <w:gridCol w:w="600"/>
              <w:gridCol w:w="600"/>
              <w:gridCol w:w="600"/>
              <w:gridCol w:w="600"/>
              <w:gridCol w:w="600"/>
              <w:gridCol w:w="600"/>
              <w:gridCol w:w="600"/>
            </w:tblGrid>
            <w:tr>
              <w:trPr>
                <w:tblHeader/>
              </w:trPr>
              <w:tc>
                <w:tcPr>
                  <w:tcW w:type="dxa" w:w="1826"/>
                  <w:shd w:fill="D6D6D6"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0"/>
                      <w:szCs w:val="20"/>
                    </w:rPr>
                    <w:t xml:space="preserve">Phase</w:t>
                  </w:r>
                </w:p>
              </w:tc>
              <w:tc>
                <w:tcPr>
                  <w:tcW w:type="dxa" w:w="600"/>
                  <w:shd w:fill="D6D6D6" w:color="auto" w:val="clear"/>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18"/>
                      <w:szCs w:val="18"/>
                    </w:rPr>
                    <w:t xml:space="preserve">M1</w:t>
                  </w:r>
                </w:p>
              </w:tc>
              <w:tc>
                <w:tcPr>
                  <w:tcW w:type="dxa" w:w="600"/>
                  <w:shd w:fill="D6D6D6" w:color="auto" w:val="clear"/>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18"/>
                      <w:szCs w:val="18"/>
                    </w:rPr>
                    <w:t xml:space="preserve">M2</w:t>
                  </w:r>
                </w:p>
              </w:tc>
              <w:tc>
                <w:tcPr>
                  <w:tcW w:type="dxa" w:w="600"/>
                  <w:shd w:fill="D6D6D6" w:color="auto" w:val="clear"/>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18"/>
                      <w:szCs w:val="18"/>
                    </w:rPr>
                    <w:t xml:space="preserve">M3</w:t>
                  </w:r>
                </w:p>
              </w:tc>
              <w:tc>
                <w:tcPr>
                  <w:tcW w:type="dxa" w:w="600"/>
                  <w:shd w:fill="D6D6D6" w:color="auto" w:val="clear"/>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18"/>
                      <w:szCs w:val="18"/>
                    </w:rPr>
                    <w:t xml:space="preserve">M4</w:t>
                  </w:r>
                </w:p>
              </w:tc>
              <w:tc>
                <w:tcPr>
                  <w:tcW w:type="dxa" w:w="600"/>
                  <w:shd w:fill="D6D6D6" w:color="auto" w:val="clear"/>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18"/>
                      <w:szCs w:val="18"/>
                    </w:rPr>
                    <w:t xml:space="preserve">M5</w:t>
                  </w:r>
                </w:p>
              </w:tc>
              <w:tc>
                <w:tcPr>
                  <w:tcW w:type="dxa" w:w="600"/>
                  <w:shd w:fill="D6D6D6" w:color="auto" w:val="clear"/>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18"/>
                      <w:szCs w:val="18"/>
                    </w:rPr>
                    <w:t xml:space="preserve">M6</w:t>
                  </w:r>
                </w:p>
              </w:tc>
              <w:tc>
                <w:tcPr>
                  <w:tcW w:type="dxa" w:w="600"/>
                  <w:shd w:fill="D6D6D6" w:color="auto" w:val="clear"/>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18"/>
                      <w:szCs w:val="18"/>
                    </w:rPr>
                    <w:t xml:space="preserve">M7</w:t>
                  </w:r>
                </w:p>
              </w:tc>
              <w:tc>
                <w:tcPr>
                  <w:tcW w:type="dxa" w:w="600"/>
                  <w:shd w:fill="D6D6D6" w:color="auto" w:val="clear"/>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18"/>
                      <w:szCs w:val="18"/>
                    </w:rPr>
                    <w:t xml:space="preserve">M8</w:t>
                  </w:r>
                </w:p>
              </w:tc>
              <w:tc>
                <w:tcPr>
                  <w:tcW w:type="dxa" w:w="600"/>
                  <w:shd w:fill="D6D6D6" w:color="auto" w:val="clear"/>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18"/>
                      <w:szCs w:val="18"/>
                    </w:rPr>
                    <w:t xml:space="preserve">M9</w:t>
                  </w:r>
                </w:p>
              </w:tc>
              <w:tc>
                <w:tcPr>
                  <w:tcW w:type="dxa" w:w="600"/>
                  <w:shd w:fill="D6D6D6" w:color="auto" w:val="clear"/>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18"/>
                      <w:szCs w:val="18"/>
                    </w:rPr>
                    <w:t xml:space="preserve">M10</w:t>
                  </w:r>
                </w:p>
              </w:tc>
              <w:tc>
                <w:tcPr>
                  <w:tcW w:type="dxa" w:w="600"/>
                  <w:shd w:fill="D6D6D6" w:color="auto" w:val="clear"/>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18"/>
                      <w:szCs w:val="18"/>
                    </w:rPr>
                    <w:t xml:space="preserve">M11</w:t>
                  </w:r>
                </w:p>
              </w:tc>
              <w:tc>
                <w:tcPr>
                  <w:tcW w:type="dxa" w:w="600"/>
                  <w:shd w:fill="D6D6D6" w:color="auto" w:val="clear"/>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18"/>
                      <w:szCs w:val="18"/>
                    </w:rPr>
                    <w:t xml:space="preserve">M12</w:t>
                  </w:r>
                </w:p>
              </w:tc>
            </w:tr>
            <w:tr>
              <w:tc>
                <w:tcPr>
                  <w:tcW w:type="dxa" w:w="182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0"/>
                      <w:szCs w:val="20"/>
                    </w:rPr>
                    <w:t xml:space="preserve">P1</w:t>
                  </w:r>
                </w:p>
              </w:tc>
              <w:tc>
                <w:tcPr>
                  <w:tcW w:type="dxa" w:w="600"/>
                  <w:shd w:fill="4A4A4A"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shd w:fill="4A4A4A"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r>
            <w:tr>
              <w:tc>
                <w:tcPr>
                  <w:tcW w:type="dxa" w:w="182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0"/>
                      <w:szCs w:val="20"/>
                    </w:rPr>
                    <w:t xml:space="preserve">P2</w:t>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shd w:fill="4A4A4A"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shd w:fill="4A4A4A"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shd w:fill="4A4A4A"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shd w:fill="4A4A4A"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r>
            <w:tr>
              <w:tc>
                <w:tcPr>
                  <w:tcW w:type="dxa" w:w="182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0"/>
                      <w:szCs w:val="20"/>
                    </w:rPr>
                    <w:t xml:space="preserve">P3</w:t>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shd w:fill="4A4A4A"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shd w:fill="4A4A4A"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shd w:fill="4A4A4A"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shd w:fill="4A4A4A"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r>
            <w:tr>
              <w:tc>
                <w:tcPr>
                  <w:tcW w:type="dxa" w:w="182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0"/>
                      <w:szCs w:val="20"/>
                    </w:rPr>
                    <w:t xml:space="preserve">P4</w:t>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shd w:fill="4A4A4A"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shd w:fill="4A4A4A"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shd w:fill="4A4A4A"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r>
            <w:tr>
              <w:tc>
                <w:tcPr>
                  <w:tcW w:type="dxa" w:w="182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0"/>
                      <w:szCs w:val="20"/>
                    </w:rPr>
                    <w:t xml:space="preserve">P5</w:t>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shd w:fill="4A4A4A"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shd w:fill="4A4A4A"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shd w:fill="4A4A4A"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c>
                <w:tcPr>
                  <w:tcW w:type="dxa" w:w="600"/>
                  <w:shd w:fill="4A4A4A"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18"/>
                      <w:szCs w:val="18"/>
                    </w:rPr>
                    <w:t xml:space="preserve"/>
                  </w:r>
                </w:p>
              </w:tc>
            </w:tr>
          </w:tbl>
          <w:p/>
        </w:tc>
      </w:tr>
    </w:tbl>
    <w:p>
      <w:pPr>
        <w:spacing w:after="100" w:before="40" w:line="260"/>
      </w:pPr>
      <w:r>
        <w:rPr>
          <w:rFonts w:ascii="Times New Roman" w:cs="Times New Roman" w:eastAsia="Times New Roman" w:hAnsi="Times New Roman"/>
          <w:b w:val="false"/>
          <w:bCs w:val="false"/>
          <w:i w:val="false"/>
          <w:iCs w:val="false"/>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E8E8"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2"/>
                <w:szCs w:val="22"/>
              </w:rPr>
              <w:t xml:space="preserve">6.  </w:t>
            </w:r>
            <w:r>
              <w:rPr>
                <w:rFonts w:ascii="Times New Roman" w:cs="Times New Roman" w:eastAsia="Times New Roman" w:hAnsi="Times New Roman"/>
                <w:b/>
                <w:bCs/>
                <w:i w:val="false"/>
                <w:iCs w:val="false"/>
                <w:sz w:val="22"/>
                <w:szCs w:val="22"/>
              </w:rPr>
              <w:t xml:space="preserve">Proposed Budget Details: Equipment, Consumables, if any</w:t>
            </w:r>
          </w:p>
        </w:tc>
      </w:tr>
      <w:tr>
        <w:tc>
          <w:tcPr>
            <w:tcW w:type="dxa" w:w="9026"/>
            <w:tcMar>
              <w:top w:type="dxa" w:w="70"/>
              <w:left w:type="dxa" w:w="110"/>
              <w:bottom w:type="dxa" w:w="70"/>
              <w:right w:type="dxa" w:w="110"/>
            </w:tcMar>
            <w:vAlign w:val="top"/>
          </w:tcPr>
          <w:p>
            <w:pPr>
              <w:spacing w:after="120" w:before="40" w:line="260"/>
            </w:pPr>
            <w:r>
              <w:rPr>
                <w:rFonts w:ascii="Times New Roman" w:cs="Times New Roman" w:eastAsia="Times New Roman" w:hAnsi="Times New Roman"/>
                <w:b w:val="false"/>
                <w:bCs w:val="false"/>
                <w:i/>
                <w:iCs/>
                <w:sz w:val="21"/>
                <w:szCs w:val="21"/>
              </w:rPr>
              <w:t xml:space="preserve">All figures in Indian Rupees for a 12-month duration. Cloud pricing is usage-based and may vary by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
              <w:gridCol w:w="2600"/>
              <w:gridCol w:w="4106"/>
              <w:gridCol w:w="1800"/>
            </w:tblGrid>
            <w:tr>
              <w:trPr>
                <w:tblHeader/>
              </w:trPr>
              <w:tc>
                <w:tcPr>
                  <w:tcW w:type="dxa" w:w="520"/>
                  <w:shd w:fill="D6D6D6" w:color="auto" w:val="clear"/>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21"/>
                      <w:szCs w:val="21"/>
                    </w:rPr>
                    <w:t xml:space="preserve">No.</w:t>
                  </w:r>
                </w:p>
              </w:tc>
              <w:tc>
                <w:tcPr>
                  <w:tcW w:type="dxa" w:w="2600"/>
                  <w:shd w:fill="D6D6D6"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1"/>
                      <w:szCs w:val="21"/>
                    </w:rPr>
                    <w:t xml:space="preserve">Budget head</w:t>
                  </w:r>
                </w:p>
              </w:tc>
              <w:tc>
                <w:tcPr>
                  <w:tcW w:type="dxa" w:w="4106"/>
                  <w:shd w:fill="D6D6D6" w:color="auto" w:val="clear"/>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1"/>
                      <w:szCs w:val="21"/>
                    </w:rPr>
                    <w:t xml:space="preserve">Basis / justification</w:t>
                  </w:r>
                </w:p>
              </w:tc>
              <w:tc>
                <w:tcPr>
                  <w:tcW w:type="dxa" w:w="1800"/>
                  <w:shd w:fill="D6D6D6" w:color="auto" w:val="clear"/>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bCs/>
                      <w:i w:val="false"/>
                      <w:iCs w:val="false"/>
                      <w:sz w:val="21"/>
                      <w:szCs w:val="21"/>
                    </w:rPr>
                    <w:t xml:space="preserve">Amount (₹)</w:t>
                  </w:r>
                </w:p>
              </w:tc>
            </w:tr>
            <w:tr>
              <w:tc>
                <w:tcPr>
                  <w:tcW w:type="dxa" w:w="52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1"/>
                      <w:szCs w:val="21"/>
                    </w:rPr>
                    <w:t xml:space="preserve">1</w:t>
                  </w:r>
                </w:p>
              </w:tc>
              <w:tc>
                <w:tcPr>
                  <w:tcW w:type="dxa" w:w="2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1"/>
                      <w:szCs w:val="21"/>
                    </w:rPr>
                    <w:t xml:space="preserve">Application hosting (web + API)</w:t>
                  </w:r>
                </w:p>
              </w:tc>
              <w:tc>
                <w:tcPr>
                  <w:tcW w:type="dxa" w:w="410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1"/>
                      <w:szCs w:val="21"/>
                    </w:rPr>
                    <w:t>Vercel Pro, 1 seat — ₹1,900/month × 6 active academic months.</w:t>
                  </w:r>
                </w:p>
              </w:tc>
              <w:tc>
                <w:tcPr>
                  <w:tcW w:type="dxa" w:w="1800"/>
                  <w:tcMar>
                    <w:top w:type="dxa" w:w="70"/>
                    <w:left w:type="dxa" w:w="110"/>
                    <w:bottom w:type="dxa" w:w="70"/>
                    <w:right w:type="dxa" w:w="110"/>
                  </w:tcMar>
                  <w:vAlign w:val="top"/>
                </w:tcPr>
                <w:p>
                  <w:pPr>
                    <w:spacing w:after="60" w:before="40" w:line="260"/>
                    <w:jc w:val="right"/>
                  </w:pPr>
                  <w:r>
                    <w:rPr>
                      <w:rFonts w:ascii="Times New Roman" w:cs="Times New Roman" w:eastAsia="Times New Roman" w:hAnsi="Times New Roman"/>
                      <w:b w:val="false"/>
                      <w:bCs w:val="false"/>
                      <w:i w:val="false"/>
                      <w:iCs w:val="false"/>
                      <w:sz w:val="21"/>
                      <w:szCs w:val="21"/>
                    </w:rPr>
                    <w:t>11,400</w:t>
                  </w:r>
                </w:p>
              </w:tc>
            </w:tr>
            <w:tr>
              <w:tc>
                <w:tcPr>
                  <w:tcW w:type="dxa" w:w="52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1"/>
                      <w:szCs w:val="21"/>
                    </w:rPr>
                    <w:t xml:space="preserve">2</w:t>
                  </w:r>
                </w:p>
              </w:tc>
              <w:tc>
                <w:tcPr>
                  <w:tcW w:type="dxa" w:w="2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1"/>
                      <w:szCs w:val="21"/>
                    </w:rPr>
                    <w:t xml:space="preserve">Execution engine + database</w:t>
                  </w:r>
                </w:p>
              </w:tc>
              <w:tc>
                <w:tcPr>
                  <w:tcW w:type="dxa" w:w="410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1"/>
                      <w:szCs w:val="21"/>
                    </w:rPr>
                    <w:t>Always-on container with GCC, G++, OpenJDK 17, Python 3, Node.js and managed PostgreSQL — ~₹1,900/month × 12.</w:t>
                  </w:r>
                </w:p>
              </w:tc>
              <w:tc>
                <w:tcPr>
                  <w:tcW w:type="dxa" w:w="1800"/>
                  <w:tcMar>
                    <w:top w:type="dxa" w:w="70"/>
                    <w:left w:type="dxa" w:w="110"/>
                    <w:bottom w:type="dxa" w:w="70"/>
                    <w:right w:type="dxa" w:w="110"/>
                  </w:tcMar>
                  <w:vAlign w:val="top"/>
                </w:tcPr>
                <w:p>
                  <w:pPr>
                    <w:spacing w:after="60" w:before="40" w:line="260"/>
                    <w:jc w:val="right"/>
                  </w:pPr>
                  <w:r>
                    <w:rPr>
                      <w:rFonts w:ascii="Times New Roman" w:cs="Times New Roman" w:eastAsia="Times New Roman" w:hAnsi="Times New Roman"/>
                      <w:b w:val="false"/>
                      <w:bCs w:val="false"/>
                      <w:i w:val="false"/>
                      <w:iCs w:val="false"/>
                      <w:sz w:val="21"/>
                      <w:szCs w:val="21"/>
                    </w:rPr>
                    <w:t>22,800</w:t>
                  </w:r>
                </w:p>
              </w:tc>
            </w:tr>
            <w:tr>
              <w:tc>
                <w:tcPr>
                  <w:tcW w:type="dxa" w:w="52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1"/>
                      <w:szCs w:val="21"/>
                    </w:rPr>
                    <w:t xml:space="preserve">3</w:t>
                  </w:r>
                </w:p>
              </w:tc>
              <w:tc>
                <w:tcPr>
                  <w:tcW w:type="dxa" w:w="2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1"/>
                      <w:szCs w:val="21"/>
                    </w:rPr>
                    <w:t xml:space="preserve">AI / LLM API services</w:t>
                  </w:r>
                </w:p>
              </w:tc>
              <w:tc>
                <w:tcPr>
                  <w:tcW w:type="dxa" w:w="410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1"/>
                      <w:szCs w:val="21"/>
                    </w:rPr>
                    <w:t>Similarity explanation, feedback drafting and test-case generation — metered credits, ~₹750/month × 12.</w:t>
                  </w:r>
                </w:p>
              </w:tc>
              <w:tc>
                <w:tcPr>
                  <w:tcW w:type="dxa" w:w="1800"/>
                  <w:tcMar>
                    <w:top w:type="dxa" w:w="70"/>
                    <w:left w:type="dxa" w:w="110"/>
                    <w:bottom w:type="dxa" w:w="70"/>
                    <w:right w:type="dxa" w:w="110"/>
                  </w:tcMar>
                  <w:vAlign w:val="top"/>
                </w:tcPr>
                <w:p>
                  <w:pPr>
                    <w:spacing w:after="60" w:before="40" w:line="260"/>
                    <w:jc w:val="right"/>
                  </w:pPr>
                  <w:r>
                    <w:rPr>
                      <w:rFonts w:ascii="Times New Roman" w:cs="Times New Roman" w:eastAsia="Times New Roman" w:hAnsi="Times New Roman"/>
                      <w:b w:val="false"/>
                      <w:bCs w:val="false"/>
                      <w:i w:val="false"/>
                      <w:iCs w:val="false"/>
                      <w:sz w:val="21"/>
                      <w:szCs w:val="21"/>
                    </w:rPr>
                    <w:t>9,000</w:t>
                  </w:r>
                </w:p>
              </w:tc>
            </w:tr>
            <w:tr>
              <w:tc>
                <w:tcPr>
                  <w:tcW w:type="dxa" w:w="52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1"/>
                      <w:szCs w:val="21"/>
                    </w:rPr>
                    <w:t xml:space="preserve">4</w:t>
                  </w:r>
                </w:p>
              </w:tc>
              <w:tc>
                <w:tcPr>
                  <w:tcW w:type="dxa" w:w="2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1"/>
                      <w:szCs w:val="21"/>
                    </w:rPr>
                    <w:t xml:space="preserve">Backups, monitoring, load testing</w:t>
                  </w:r>
                </w:p>
              </w:tc>
              <w:tc>
                <w:tcPr>
                  <w:tcW w:type="dxa" w:w="410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1"/>
                      <w:szCs w:val="21"/>
                    </w:rPr>
                    <w:t>Nightly snapshots with 30-day retention, uptime alerting, and staging resources for concurrency trials.</w:t>
                  </w:r>
                </w:p>
              </w:tc>
              <w:tc>
                <w:tcPr>
                  <w:tcW w:type="dxa" w:w="1800"/>
                  <w:tcMar>
                    <w:top w:type="dxa" w:w="70"/>
                    <w:left w:type="dxa" w:w="110"/>
                    <w:bottom w:type="dxa" w:w="70"/>
                    <w:right w:type="dxa" w:w="110"/>
                  </w:tcMar>
                  <w:vAlign w:val="top"/>
                </w:tcPr>
                <w:p>
                  <w:pPr>
                    <w:spacing w:after="60" w:before="40" w:line="260"/>
                    <w:jc w:val="right"/>
                  </w:pPr>
                  <w:r>
                    <w:rPr>
                      <w:rFonts w:ascii="Times New Roman" w:cs="Times New Roman" w:eastAsia="Times New Roman" w:hAnsi="Times New Roman"/>
                      <w:b w:val="false"/>
                      <w:bCs w:val="false"/>
                      <w:i w:val="false"/>
                      <w:iCs w:val="false"/>
                      <w:sz w:val="21"/>
                      <w:szCs w:val="21"/>
                    </w:rPr>
                    <w:t>6,000</w:t>
                  </w:r>
                </w:p>
              </w:tc>
            </w:tr>
            <w:tr>
              <w:tc>
                <w:tcPr>
                  <w:tcW w:type="dxa" w:w="52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1"/>
                      <w:szCs w:val="21"/>
                    </w:rPr>
                    <w:t xml:space="preserve">5</w:t>
                  </w:r>
                </w:p>
              </w:tc>
              <w:tc>
                <w:tcPr>
                  <w:tcW w:type="dxa" w:w="2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1"/>
                      <w:szCs w:val="21"/>
                    </w:rPr>
                    <w:t xml:space="preserve">Manpower — student honorarium</w:t>
                  </w:r>
                </w:p>
              </w:tc>
              <w:tc>
                <w:tcPr>
                  <w:tcW w:type="dxa" w:w="410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1"/>
                      <w:szCs w:val="21"/>
                    </w:rPr>
                    <w:t>2 student developers × ₹2,000/month × 9 active project months, as per institute norms.</w:t>
                  </w:r>
                </w:p>
              </w:tc>
              <w:tc>
                <w:tcPr>
                  <w:tcW w:type="dxa" w:w="1800"/>
                  <w:tcMar>
                    <w:top w:type="dxa" w:w="70"/>
                    <w:left w:type="dxa" w:w="110"/>
                    <w:bottom w:type="dxa" w:w="70"/>
                    <w:right w:type="dxa" w:w="110"/>
                  </w:tcMar>
                  <w:vAlign w:val="top"/>
                </w:tcPr>
                <w:p>
                  <w:pPr>
                    <w:spacing w:after="60" w:before="40" w:line="260"/>
                    <w:jc w:val="right"/>
                  </w:pPr>
                  <w:r>
                    <w:rPr>
                      <w:rFonts w:ascii="Times New Roman" w:cs="Times New Roman" w:eastAsia="Times New Roman" w:hAnsi="Times New Roman"/>
                      <w:b w:val="false"/>
                      <w:bCs w:val="false"/>
                      <w:i w:val="false"/>
                      <w:iCs w:val="false"/>
                      <w:sz w:val="21"/>
                      <w:szCs w:val="21"/>
                    </w:rPr>
                    <w:t>36,000</w:t>
                  </w:r>
                </w:p>
              </w:tc>
            </w:tr>
            <w:tr>
              <w:tc>
                <w:tcPr>
                  <w:tcW w:type="dxa" w:w="520"/>
                  <w:tcMar>
                    <w:top w:type="dxa" w:w="70"/>
                    <w:left w:type="dxa" w:w="110"/>
                    <w:bottom w:type="dxa" w:w="70"/>
                    <w:right w:type="dxa" w:w="110"/>
                  </w:tcMar>
                  <w:vAlign w:val="top"/>
                </w:tcPr>
                <w:p>
                  <w:pPr>
                    <w:spacing w:after="60" w:before="40" w:line="260"/>
                    <w:jc w:val="center"/>
                  </w:pPr>
                  <w:r>
                    <w:rPr>
                      <w:rFonts w:ascii="Times New Roman" w:cs="Times New Roman" w:eastAsia="Times New Roman" w:hAnsi="Times New Roman"/>
                      <w:b w:val="false"/>
                      <w:bCs w:val="false"/>
                      <w:i w:val="false"/>
                      <w:iCs w:val="false"/>
                      <w:sz w:val="21"/>
                      <w:szCs w:val="21"/>
                    </w:rPr>
                    <w:t xml:space="preserve">6</w:t>
                  </w:r>
                </w:p>
              </w:tc>
              <w:tc>
                <w:tcPr>
                  <w:tcW w:type="dxa" w:w="2600"/>
                  <w:tcMar>
                    <w:top w:type="dxa" w:w="70"/>
                    <w:left w:type="dxa" w:w="110"/>
                    <w:bottom w:type="dxa" w:w="70"/>
                    <w:right w:type="dxa" w:w="110"/>
                  </w:tcMar>
                  <w:vAlign w:val="top"/>
                </w:tcPr>
                <w:p>
                  <w:pPr>
                    <w:spacing w:after="60" w:before="40" w:line="260"/>
                  </w:pPr>
                  <w:r>
                    <w:rPr>
                      <w:rFonts w:ascii="Times New Roman" w:cs="Times New Roman" w:eastAsia="Times New Roman" w:hAnsi="Times New Roman"/>
                      <w:b/>
                      <w:bCs/>
                      <w:i w:val="false"/>
                      <w:iCs w:val="false"/>
                      <w:sz w:val="21"/>
                      <w:szCs w:val="21"/>
                    </w:rPr>
                    <w:t xml:space="preserve">Domain, SSL and contingency</w:t>
                  </w:r>
                </w:p>
              </w:tc>
              <w:tc>
                <w:tcPr>
                  <w:tcW w:type="dxa" w:w="4106"/>
                  <w:tcMar>
                    <w:top w:type="dxa" w:w="70"/>
                    <w:left w:type="dxa" w:w="110"/>
                    <w:bottom w:type="dxa" w:w="70"/>
                    <w:right w:type="dxa" w:w="110"/>
                  </w:tcMar>
                  <w:vAlign w:val="top"/>
                </w:tcPr>
                <w:p>
                  <w:pPr>
                    <w:spacing w:after="60" w:before="40" w:line="260"/>
                  </w:pPr>
                  <w:r>
                    <w:rPr>
                      <w:rFonts w:ascii="Times New Roman" w:cs="Times New Roman" w:eastAsia="Times New Roman" w:hAnsi="Times New Roman"/>
                      <w:b w:val="false"/>
                      <w:bCs w:val="false"/>
                      <w:i w:val="false"/>
                      <w:iCs w:val="false"/>
                      <w:sz w:val="21"/>
                      <w:szCs w:val="21"/>
                    </w:rPr>
                    <w:t>₹0 if labsubmit.cbit.ac.in is issued by college IT; plus compute overage in peak examination weeks.</w:t>
                  </w:r>
                </w:p>
              </w:tc>
              <w:tc>
                <w:tcPr>
                  <w:tcW w:type="dxa" w:w="1800"/>
                  <w:tcMar>
                    <w:top w:type="dxa" w:w="70"/>
                    <w:left w:type="dxa" w:w="110"/>
                    <w:bottom w:type="dxa" w:w="70"/>
                    <w:right w:type="dxa" w:w="110"/>
                  </w:tcMar>
                  <w:vAlign w:val="top"/>
                </w:tcPr>
                <w:p>
                  <w:pPr>
                    <w:spacing w:after="60" w:before="40" w:line="260"/>
                    <w:jc w:val="right"/>
                  </w:pPr>
                  <w:r>
                    <w:rPr>
                      <w:rFonts w:ascii="Times New Roman" w:cs="Times New Roman" w:eastAsia="Times New Roman" w:hAnsi="Times New Roman"/>
                      <w:b w:val="false"/>
                      <w:bCs w:val="false"/>
                      <w:i w:val="false"/>
                      <w:iCs w:val="false"/>
                      <w:sz w:val="21"/>
                      <w:szCs w:val="21"/>
                    </w:rPr>
                    <w:t>3,800</w:t>
                  </w:r>
                </w:p>
              </w:tc>
            </w:tr>
            <w:tr>
              <w:tc>
                <w:tcPr>
                  <w:tcW w:type="dxa" w:w="7226"/>
                  <w:gridSpan w:val="3"/>
                  <w:shd w:fill="E8E8E8" w:color="auto" w:val="clear"/>
                  <w:tcMar>
                    <w:top w:type="dxa" w:w="70"/>
                    <w:left w:type="dxa" w:w="110"/>
                    <w:bottom w:type="dxa" w:w="70"/>
                    <w:right w:type="dxa" w:w="110"/>
                  </w:tcMar>
                  <w:vAlign w:val="top"/>
                </w:tcPr>
                <w:p>
                  <w:pPr>
                    <w:spacing w:after="60" w:before="40" w:line="260"/>
                    <w:jc w:val="right"/>
                  </w:pPr>
                  <w:r>
                    <w:rPr>
                      <w:rFonts w:ascii="Times New Roman" w:cs="Times New Roman" w:eastAsia="Times New Roman" w:hAnsi="Times New Roman"/>
                      <w:b/>
                      <w:bCs/>
                      <w:i w:val="false"/>
                      <w:iCs w:val="false"/>
                      <w:sz w:val="22"/>
                      <w:szCs w:val="22"/>
                    </w:rPr>
                    <w:t xml:space="preserve">Total</w:t>
                  </w:r>
                </w:p>
              </w:tc>
              <w:tc>
                <w:tcPr>
                  <w:tcW w:type="dxa" w:w="1800"/>
                  <w:shd w:fill="E8E8E8" w:color="auto" w:val="clear"/>
                  <w:tcMar>
                    <w:top w:type="dxa" w:w="70"/>
                    <w:left w:type="dxa" w:w="110"/>
                    <w:bottom w:type="dxa" w:w="70"/>
                    <w:right w:type="dxa" w:w="110"/>
                  </w:tcMar>
                  <w:vAlign w:val="top"/>
                </w:tcPr>
                <w:p>
                  <w:pPr>
                    <w:spacing w:after="60" w:before="40" w:line="260"/>
                    <w:jc w:val="right"/>
                  </w:pPr>
                  <w:r>
                    <w:rPr>
                      <w:rFonts w:ascii="Times New Roman" w:cs="Times New Roman" w:eastAsia="Times New Roman" w:hAnsi="Times New Roman"/>
                      <w:b/>
                      <w:bCs/>
                      <w:i w:val="false"/>
                      <w:iCs w:val="false"/>
                      <w:sz w:val="22"/>
                      <w:szCs w:val="22"/>
                    </w:rPr>
                    <w:t>89,000</w:t>
                  </w:r>
                </w:p>
              </w:tc>
            </w:tr>
          </w:tbl>
          <w:p>
            <w:pPr>
              <w:spacing w:after="40" w:before="20" w:line="250"/>
              <w:ind w:left="340" w:hanging="200"/>
            </w:pP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val="false"/>
                <w:bCs w:val="false"/>
                <w:i w:val="false"/>
                <w:iCs w:val="false"/>
                <w:sz w:val="21"/>
                <w:szCs w:val="21"/>
              </w:rPr>
              <w:t xml:space="preserve">No equipment purchase is requested — LabSubmit runs in a browser, so lab computers need no compilers, IDEs or installation.</w:t>
            </w:r>
          </w:p>
          <w:p>
            <w:pPr>
              <w:spacing w:after="40" w:before="20" w:line="250"/>
              <w:ind w:left="340" w:hanging="200"/>
            </w:pP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val="false"/>
                <w:bCs w:val="false"/>
                <w:i w:val="false"/>
                <w:iCs w:val="false"/>
                <w:sz w:val="21"/>
                <w:szCs w:val="21"/>
              </w:rPr>
              <w:t xml:space="preserve">Licence cost and development cost are both ₹0: all components are open-source and the platform is already built.</w:t>
            </w:r>
          </w:p>
          <w:p>
            <w:pPr>
              <w:spacing w:after="40" w:before="20" w:line="250"/>
              <w:ind w:left="340" w:hanging="200"/>
            </w:pP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val="false"/>
                <w:bCs w:val="false"/>
                <w:i w:val="false"/>
                <w:iCs w:val="false"/>
                <w:sz w:val="21"/>
                <w:szCs w:val="21"/>
              </w:rPr>
              <w:t xml:space="preserve">Moved to a college virtual machine from year two, heads 1, 2 and 4 fall to almost ₹0, with student data remaining on campus.</w:t>
            </w:r>
          </w:p>
        </w:tc>
      </w:tr>
    </w:tbl>
    <w:p>
      <w:pPr>
        <w:spacing w:after="0" w:before="400" w:line="260"/>
      </w:pPr>
      <w:r>
        <w:rPr>
          <w:rFonts w:ascii="Times New Roman" w:cs="Times New Roman" w:eastAsia="Times New Roman" w:hAnsi="Times New Roman"/>
          <w:b w:val="false"/>
          <w:bCs w:val="false"/>
          <w:i w:val="false"/>
          <w:iCs w:val="false"/>
          <w:sz w:val="22"/>
          <w:szCs w:val="22"/>
        </w:rPr>
        <w:t xml:space="preserve"/>
      </w:r>
    </w:p>
    <w:tbl>
      <w:tblPr>
        <w:tblW w:type="dxa" w:w="9026"/>
        <w:tblBorders>
          <w:top w:val="none"/>
          <w:left w:val="none"/>
          <w:bottom w:val="none"/>
          <w:right w:val="none"/>
          <w:insideH w:val="none"/>
          <w:insideV w:val="none"/>
        </w:tblBorders>
      </w:tblPr>
      <w:tblGrid>
        <w:gridCol w:w="4513"/>
        <w:gridCol w:w="4513"/>
      </w:tblGrid>
      <w:tr>
        <w:tc>
          <w:tcPr>
            <w:tcW w:type="dxa" w:w="4513"/>
            <w:tcMar>
              <w:top w:type="dxa" w:w="70"/>
              <w:left w:type="dxa" w:w="110"/>
              <w:bottom w:type="dxa" w:w="70"/>
              <w:right w:type="dxa" w:w="110"/>
            </w:tcMar>
            <w:vAlign w:val="top"/>
          </w:tcPr>
          <w:p>
            <w:pPr>
              <w:spacing w:after="60" w:before="260" w:line="260"/>
            </w:pPr>
            <w:r>
              <w:rPr>
                <w:rFonts w:ascii="Times New Roman" w:cs="Times New Roman" w:eastAsia="Times New Roman" w:hAnsi="Times New Roman"/>
                <w:b w:val="false"/>
                <w:bCs w:val="false"/>
                <w:i w:val="false"/>
                <w:iCs w:val="false"/>
                <w:sz w:val="22"/>
                <w:szCs w:val="22"/>
              </w:rPr>
              <w:t xml:space="preserve"/>
            </w:r>
          </w:p>
          <w:p>
            <w:pPr>
              <w:spacing w:after="60" w:before="40" w:line="260"/>
            </w:pPr>
            <w:r>
              <w:rPr>
                <w:rFonts w:ascii="Times New Roman" w:cs="Times New Roman" w:eastAsia="Times New Roman" w:hAnsi="Times New Roman"/>
                <w:b/>
                <w:bCs/>
                <w:i w:val="false"/>
                <w:iCs w:val="false"/>
                <w:sz w:val="22"/>
                <w:szCs w:val="22"/>
              </w:rPr>
              <w:t xml:space="preserve">Signature of PI</w:t>
            </w:r>
          </w:p>
        </w:tc>
        <w:tc>
          <w:tcPr>
            <w:tcW w:type="dxa" w:w="4513"/>
            <w:tcMar>
              <w:top w:type="dxa" w:w="70"/>
              <w:left w:type="dxa" w:w="110"/>
              <w:bottom w:type="dxa" w:w="70"/>
              <w:right w:type="dxa" w:w="110"/>
            </w:tcMar>
            <w:vAlign w:val="top"/>
          </w:tcPr>
          <w:p>
            <w:pPr>
              <w:spacing w:after="60" w:before="260" w:line="260"/>
            </w:pPr>
            <w:r>
              <w:rPr>
                <w:rFonts w:ascii="Times New Roman" w:cs="Times New Roman" w:eastAsia="Times New Roman" w:hAnsi="Times New Roman"/>
                <w:b w:val="false"/>
                <w:bCs w:val="false"/>
                <w:i w:val="false"/>
                <w:iCs w:val="false"/>
                <w:sz w:val="22"/>
                <w:szCs w:val="22"/>
              </w:rPr>
              <w:t xml:space="preserve"/>
            </w:r>
          </w:p>
          <w:p>
            <w:pPr>
              <w:spacing w:after="60" w:before="40" w:line="260"/>
            </w:pPr>
            <w:r>
              <w:rPr>
                <w:rFonts w:ascii="Times New Roman" w:cs="Times New Roman" w:eastAsia="Times New Roman" w:hAnsi="Times New Roman"/>
                <w:b w:val="false"/>
                <w:bCs w:val="false"/>
                <w:i w:val="false"/>
                <w:iCs w:val="false"/>
                <w:sz w:val="22"/>
                <w:szCs w:val="22"/>
              </w:rPr>
              <w:t xml:space="preserve">Date:</w:t>
            </w:r>
          </w:p>
          <w:p>
            <w:pPr>
              <w:spacing w:after="60" w:before="40" w:line="260"/>
            </w:pPr>
            <w:r>
              <w:rPr>
                <w:rFonts w:ascii="Times New Roman" w:cs="Times New Roman" w:eastAsia="Times New Roman" w:hAnsi="Times New Roman"/>
                <w:b w:val="false"/>
                <w:bCs w:val="false"/>
                <w:i w:val="false"/>
                <w:iCs w:val="false"/>
                <w:sz w:val="22"/>
                <w:szCs w:val="22"/>
              </w:rPr>
              <w:t xml:space="preserve">Place:  Hyderabad</w:t>
            </w:r>
          </w:p>
        </w:tc>
      </w:tr>
    </w:tbl>
    <w:p>
      <w:pPr>
        <w:spacing w:after="400" w:before="400" w:line="260"/>
      </w:pPr>
      <w:r>
        <w:rPr>
          <w:rFonts w:ascii="Times New Roman" w:cs="Times New Roman" w:eastAsia="Times New Roman" w:hAnsi="Times New Roman"/>
          <w:b/>
          <w:bCs/>
          <w:i w:val="false"/>
          <w:iCs w:val="false"/>
          <w:sz w:val="22"/>
          <w:szCs w:val="22"/>
        </w:rPr>
        <w:t xml:space="preserve">Recommendations of HoD and Signature:</w:t>
      </w:r>
    </w:p>
    <w:p>
      <w:pPr>
        <w:pBdr>
          <w:bottom w:val="single" w:color="999999" w:sz="6" w:space="1"/>
        </w:pBdr>
        <w:spacing w:after="100" w:before="100"/>
      </w:pPr>
      <w:r>
        <w:rPr>
          <w:rFonts w:ascii="Times New Roman" w:cs="Times New Roman" w:eastAsia="Times New Roman" w:hAnsi="Times New Roman"/>
          <w:b w:val="false"/>
          <w:bCs w:val="false"/>
          <w:i w:val="false"/>
          <w:iCs w:val="false"/>
          <w:sz w:val="22"/>
          <w:szCs w:val="22"/>
        </w:rPr>
        <w:t xml:space="preserve"/>
      </w:r>
    </w:p>
    <w:sectPr>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9b2748881fabde9be3669974e87ebc7d1f497d1.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2026-08-11T16:25:52.331Z</dcterms:created>
  <dcterms:modified xsi:type="dcterms:W3CDTF">2026-08-11T16:25:52.332Z</dcterms:modified>
</cp:coreProperties>
</file>

<file path=docProps/custom.xml><?xml version="1.0" encoding="utf-8"?>
<Properties xmlns="http://schemas.openxmlformats.org/officeDocument/2006/custom-properties" xmlns:vt="http://schemas.openxmlformats.org/officeDocument/2006/docPropsVTypes"/>
</file>