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BÀI LÀM: PHÂN RÃ EPIC “HỦY CHUYẾN GHÉP” – RIKKEIGO</w:t>
      </w:r>
    </w:p>
    <w:p>
      <w:pPr>
        <w:pStyle w:val="Heading1"/>
      </w:pPr>
      <w:r>
        <w:t>PHẦN 1. ĐỀ XUẤT 2 CHIẾN LƯỢC PHÂN RÃ EPIC</w:t>
      </w:r>
    </w:p>
    <w:p>
      <w:pPr>
        <w:pStyle w:val="Heading2"/>
      </w:pPr>
      <w:r>
        <w:t>1.1. Chiến lược 1: Phân rã theo chức năng (Functional Decomposition)</w:t>
      </w:r>
    </w:p>
    <w:p>
      <w:r>
        <w:t>Chia Epic thành các Feature theo từng chức năng nghiệp vụ mà hệ thống cần thực hiện.</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1F4E79"/>
          </w:tcPr>
          <w:p>
            <w:r>
              <w:rPr>
                <w:b/>
                <w:color w:val="FFFFFF"/>
              </w:rPr>
              <w:t>Mã</w:t>
            </w:r>
          </w:p>
        </w:tc>
        <w:tc>
          <w:tcPr>
            <w:tcW w:type="dxa" w:w="3360"/>
            <w:vAlign w:val="center"/>
            <w:shd w:fill="1F4E79"/>
          </w:tcPr>
          <w:p>
            <w:r>
              <w:rPr>
                <w:b/>
                <w:color w:val="FFFFFF"/>
              </w:rPr>
              <w:t>Tên Feature</w:t>
            </w:r>
          </w:p>
        </w:tc>
        <w:tc>
          <w:tcPr>
            <w:tcW w:type="dxa" w:w="3360"/>
            <w:vAlign w:val="center"/>
            <w:shd w:fill="1F4E79"/>
          </w:tcPr>
          <w:p>
            <w:r>
              <w:rPr>
                <w:b/>
                <w:color w:val="FFFFFF"/>
              </w:rPr>
              <w:t>Nội dung</w:t>
            </w:r>
          </w:p>
        </w:tc>
      </w:tr>
      <w:tr>
        <w:tc>
          <w:tcPr>
            <w:tcW w:type="dxa" w:w="3360"/>
            <w:vAlign w:val="center"/>
          </w:tcPr>
          <w:p>
            <w:pPr>
              <w:spacing w:after="60" w:before="60"/>
            </w:pPr>
            <w:r>
              <w:t>F1</w:t>
            </w:r>
          </w:p>
        </w:tc>
        <w:tc>
          <w:tcPr>
            <w:tcW w:type="dxa" w:w="3360"/>
            <w:vAlign w:val="center"/>
          </w:tcPr>
          <w:p>
            <w:pPr>
              <w:spacing w:after="60" w:before="60"/>
            </w:pPr>
            <w:r>
              <w:t>Hủy chuyến ghép</w:t>
            </w:r>
          </w:p>
        </w:tc>
        <w:tc>
          <w:tcPr>
            <w:tcW w:type="dxa" w:w="3360"/>
            <w:vAlign w:val="center"/>
          </w:tcPr>
          <w:p>
            <w:pPr>
              <w:spacing w:after="60" w:before="60"/>
            </w:pPr>
            <w:r>
              <w:t>Cho phép khách hàng gửi yêu cầu hủy chuyến.</w:t>
            </w:r>
          </w:p>
        </w:tc>
      </w:tr>
      <w:tr>
        <w:tc>
          <w:tcPr>
            <w:tcW w:type="dxa" w:w="3360"/>
            <w:vAlign w:val="center"/>
          </w:tcPr>
          <w:p>
            <w:pPr>
              <w:spacing w:after="60" w:before="60"/>
            </w:pPr>
            <w:r>
              <w:t>F2</w:t>
            </w:r>
          </w:p>
        </w:tc>
        <w:tc>
          <w:tcPr>
            <w:tcW w:type="dxa" w:w="3360"/>
            <w:vAlign w:val="center"/>
          </w:tcPr>
          <w:p>
            <w:pPr>
              <w:spacing w:after="60" w:before="60"/>
            </w:pPr>
            <w:r>
              <w:t>Tính phí hủy chuyến</w:t>
            </w:r>
          </w:p>
        </w:tc>
        <w:tc>
          <w:tcPr>
            <w:tcW w:type="dxa" w:w="3360"/>
            <w:vAlign w:val="center"/>
          </w:tcPr>
          <w:p>
            <w:pPr>
              <w:spacing w:after="60" w:before="60"/>
            </w:pPr>
            <w:r>
              <w:t>Tính phí 0đ nếu hủy trước khi tài xế nhận chuyến, 10.000đ nếu hủy sau khi tài xế nhận chuyến.</w:t>
            </w:r>
          </w:p>
        </w:tc>
      </w:tr>
      <w:tr>
        <w:tc>
          <w:tcPr>
            <w:tcW w:type="dxa" w:w="3360"/>
            <w:vAlign w:val="center"/>
          </w:tcPr>
          <w:p>
            <w:pPr>
              <w:spacing w:after="60" w:before="60"/>
            </w:pPr>
            <w:r>
              <w:t>F3</w:t>
            </w:r>
          </w:p>
        </w:tc>
        <w:tc>
          <w:tcPr>
            <w:tcW w:type="dxa" w:w="3360"/>
            <w:vAlign w:val="center"/>
          </w:tcPr>
          <w:p>
            <w:pPr>
              <w:spacing w:after="60" w:before="60"/>
            </w:pPr>
            <w:r>
              <w:t>Tính lại giá chuyến ghép</w:t>
            </w:r>
          </w:p>
        </w:tc>
        <w:tc>
          <w:tcPr>
            <w:tcW w:type="dxa" w:w="3360"/>
            <w:vAlign w:val="center"/>
          </w:tcPr>
          <w:p>
            <w:pPr>
              <w:spacing w:after="60" w:before="60"/>
            </w:pPr>
            <w:r>
              <w:t>Tính lại giá cho các khách còn lại sau khi có người hủy.</w:t>
            </w:r>
          </w:p>
        </w:tc>
      </w:tr>
      <w:tr>
        <w:tc>
          <w:tcPr>
            <w:tcW w:type="dxa" w:w="3360"/>
            <w:vAlign w:val="center"/>
          </w:tcPr>
          <w:p>
            <w:pPr>
              <w:spacing w:after="60" w:before="60"/>
            </w:pPr>
            <w:r>
              <w:t>F4</w:t>
            </w:r>
          </w:p>
        </w:tc>
        <w:tc>
          <w:tcPr>
            <w:tcW w:type="dxa" w:w="3360"/>
            <w:vAlign w:val="center"/>
          </w:tcPr>
          <w:p>
            <w:pPr>
              <w:spacing w:after="60" w:before="60"/>
            </w:pPr>
            <w:r>
              <w:t>Thông báo thay đổi giá</w:t>
            </w:r>
          </w:p>
        </w:tc>
        <w:tc>
          <w:tcPr>
            <w:tcW w:type="dxa" w:w="3360"/>
            <w:vAlign w:val="center"/>
          </w:tcPr>
          <w:p>
            <w:pPr>
              <w:spacing w:after="60" w:before="60"/>
            </w:pPr>
            <w:r>
              <w:t>Thông báo ngay giá mới cho các khách còn lại.</w:t>
            </w:r>
          </w:p>
        </w:tc>
      </w:tr>
    </w:tbl>
    <w:p>
      <w:pPr>
        <w:pStyle w:val="Heading2"/>
      </w:pPr>
      <w:r>
        <w:t>1.2. Chiến lược 2: Phân rã theo giá trị người dùng (User Value / End-to-End Vertical Slicing)</w:t>
      </w:r>
    </w:p>
    <w:p>
      <w:r>
        <w:t>Chia Epic thành các Feature theo từng tình huống nghiệp vụ hoàn chỉnh, mỗi Feature mang lại giá trị cụ thể cho người dùng.</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1F4E79"/>
          </w:tcPr>
          <w:p>
            <w:r>
              <w:rPr>
                <w:b/>
                <w:color w:val="FFFFFF"/>
              </w:rPr>
              <w:t>Mã</w:t>
            </w:r>
          </w:p>
        </w:tc>
        <w:tc>
          <w:tcPr>
            <w:tcW w:type="dxa" w:w="3360"/>
            <w:vAlign w:val="center"/>
            <w:shd w:fill="1F4E79"/>
          </w:tcPr>
          <w:p>
            <w:r>
              <w:rPr>
                <w:b/>
                <w:color w:val="FFFFFF"/>
              </w:rPr>
              <w:t>Tên Feature</w:t>
            </w:r>
          </w:p>
        </w:tc>
        <w:tc>
          <w:tcPr>
            <w:tcW w:type="dxa" w:w="3360"/>
            <w:vAlign w:val="center"/>
            <w:shd w:fill="1F4E79"/>
          </w:tcPr>
          <w:p>
            <w:r>
              <w:rPr>
                <w:b/>
                <w:color w:val="FFFFFF"/>
              </w:rPr>
              <w:t>Nội dung</w:t>
            </w:r>
          </w:p>
        </w:tc>
      </w:tr>
      <w:tr>
        <w:tc>
          <w:tcPr>
            <w:tcW w:type="dxa" w:w="3360"/>
            <w:vAlign w:val="center"/>
          </w:tcPr>
          <w:p>
            <w:pPr>
              <w:spacing w:after="60" w:before="60"/>
            </w:pPr>
            <w:r>
              <w:t>F1</w:t>
            </w:r>
          </w:p>
        </w:tc>
        <w:tc>
          <w:tcPr>
            <w:tcW w:type="dxa" w:w="3360"/>
            <w:vAlign w:val="center"/>
          </w:tcPr>
          <w:p>
            <w:pPr>
              <w:spacing w:after="60" w:before="60"/>
            </w:pPr>
            <w:r>
              <w:t>Hủy chuyến miễn phí trước khi tài xế nhận</w:t>
            </w:r>
          </w:p>
        </w:tc>
        <w:tc>
          <w:tcPr>
            <w:tcW w:type="dxa" w:w="3360"/>
            <w:vAlign w:val="center"/>
          </w:tcPr>
          <w:p>
            <w:pPr>
              <w:spacing w:after="60" w:before="60"/>
            </w:pPr>
            <w:r>
              <w:t>Khách hủy chuyến, không mất phí và hệ thống cập nhật trạng thái chuyến.</w:t>
            </w:r>
          </w:p>
        </w:tc>
      </w:tr>
      <w:tr>
        <w:tc>
          <w:tcPr>
            <w:tcW w:type="dxa" w:w="3360"/>
            <w:vAlign w:val="center"/>
          </w:tcPr>
          <w:p>
            <w:pPr>
              <w:spacing w:after="60" w:before="60"/>
            </w:pPr>
            <w:r>
              <w:t>F2</w:t>
            </w:r>
          </w:p>
        </w:tc>
        <w:tc>
          <w:tcPr>
            <w:tcW w:type="dxa" w:w="3360"/>
            <w:vAlign w:val="center"/>
          </w:tcPr>
          <w:p>
            <w:pPr>
              <w:spacing w:after="60" w:before="60"/>
            </w:pPr>
            <w:r>
              <w:t>Hủy chuyến có tính phí sau khi tài xế nhận</w:t>
            </w:r>
          </w:p>
        </w:tc>
        <w:tc>
          <w:tcPr>
            <w:tcW w:type="dxa" w:w="3360"/>
            <w:vAlign w:val="center"/>
          </w:tcPr>
          <w:p>
            <w:pPr>
              <w:spacing w:after="60" w:before="60"/>
            </w:pPr>
            <w:r>
              <w:t>Khách hủy chuyến, bị tính phí 10.000đ và hệ thống cập nhật trạng thái chuyến.</w:t>
            </w:r>
          </w:p>
        </w:tc>
      </w:tr>
      <w:tr>
        <w:tc>
          <w:tcPr>
            <w:tcW w:type="dxa" w:w="3360"/>
            <w:vAlign w:val="center"/>
          </w:tcPr>
          <w:p>
            <w:pPr>
              <w:spacing w:after="60" w:before="60"/>
            </w:pPr>
            <w:r>
              <w:t>F3</w:t>
            </w:r>
          </w:p>
        </w:tc>
        <w:tc>
          <w:tcPr>
            <w:tcW w:type="dxa" w:w="3360"/>
            <w:vAlign w:val="center"/>
          </w:tcPr>
          <w:p>
            <w:pPr>
              <w:spacing w:after="60" w:before="60"/>
            </w:pPr>
            <w:r>
              <w:t>Cập nhật giá và thông báo cho khách đi cùng</w:t>
            </w:r>
          </w:p>
        </w:tc>
        <w:tc>
          <w:tcPr>
            <w:tcW w:type="dxa" w:w="3360"/>
            <w:vAlign w:val="center"/>
          </w:tcPr>
          <w:p>
            <w:pPr>
              <w:spacing w:after="60" w:before="60"/>
            </w:pPr>
            <w:r>
              <w:t>Khi có khách hủy, hệ thống tính lại giá và thông báo ngay cho các khách còn lại.</w:t>
            </w:r>
          </w:p>
        </w:tc>
      </w:tr>
      <w:tr>
        <w:tc>
          <w:tcPr>
            <w:tcW w:type="dxa" w:w="3360"/>
            <w:vAlign w:val="center"/>
          </w:tcPr>
          <w:p>
            <w:pPr>
              <w:spacing w:after="60" w:before="60"/>
            </w:pPr>
            <w:r>
              <w:t>F4</w:t>
            </w:r>
          </w:p>
        </w:tc>
        <w:tc>
          <w:tcPr>
            <w:tcW w:type="dxa" w:w="3360"/>
            <w:vAlign w:val="center"/>
          </w:tcPr>
          <w:p>
            <w:pPr>
              <w:spacing w:after="60" w:before="60"/>
            </w:pPr>
            <w:r>
              <w:t>Xử lý đồng thời yêu cầu hủy và nhận chuyến</w:t>
            </w:r>
          </w:p>
        </w:tc>
        <w:tc>
          <w:tcPr>
            <w:tcW w:type="dxa" w:w="3360"/>
            <w:vAlign w:val="center"/>
          </w:tcPr>
          <w:p>
            <w:pPr>
              <w:spacing w:after="60" w:before="60"/>
            </w:pPr>
            <w:r>
              <w:t>Dựa vào thời điểm máy chủ ghi nhận để xác định chính xác việc có tính phí hay không khi hai thao tác xảy ra gần như đồng thời.</w:t>
            </w:r>
          </w:p>
        </w:tc>
      </w:tr>
    </w:tbl>
    <w:p>
      <w:pPr>
        <w:pStyle w:val="Heading1"/>
      </w:pPr>
      <w:r>
        <w:t>PHẦN 2. SO SÁNH 2 CHIẾN LƯỢC THEO INVEST</w:t>
      </w:r>
    </w:p>
    <w:p>
      <w:r>
        <w:t>Independent: Feature có thể phát triển, kiểm thử tương đối độc lập. Small: Feature đủ nhỏ để hoàn thành trong một Sprint. Valuable: Feature tạo ra giá trị nhận biết được đối với người dùng hoặc doanh nghiệp.</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1F4E79"/>
          </w:tcPr>
          <w:p>
            <w:r>
              <w:rPr>
                <w:b/>
                <w:color w:val="FFFFFF"/>
              </w:rPr>
              <w:t>Tiêu chí</w:t>
            </w:r>
          </w:p>
        </w:tc>
        <w:tc>
          <w:tcPr>
            <w:tcW w:type="dxa" w:w="3360"/>
            <w:vAlign w:val="center"/>
            <w:shd w:fill="1F4E79"/>
          </w:tcPr>
          <w:p>
            <w:r>
              <w:rPr>
                <w:b/>
                <w:color w:val="FFFFFF"/>
              </w:rPr>
              <w:t>Chiến lược 1: Theo chức năng</w:t>
            </w:r>
          </w:p>
        </w:tc>
        <w:tc>
          <w:tcPr>
            <w:tcW w:type="dxa" w:w="3360"/>
            <w:vAlign w:val="center"/>
            <w:shd w:fill="1F4E79"/>
          </w:tcPr>
          <w:p>
            <w:r>
              <w:rPr>
                <w:b/>
                <w:color w:val="FFFFFF"/>
              </w:rPr>
              <w:t>Chiến lược 2: Theo giá trị người dùng</w:t>
            </w:r>
          </w:p>
        </w:tc>
      </w:tr>
      <w:tr>
        <w:tc>
          <w:tcPr>
            <w:tcW w:type="dxa" w:w="3360"/>
            <w:vAlign w:val="center"/>
          </w:tcPr>
          <w:p>
            <w:pPr>
              <w:spacing w:after="60" w:before="60"/>
            </w:pPr>
            <w:r>
              <w:t>Independent</w:t>
            </w:r>
          </w:p>
        </w:tc>
        <w:tc>
          <w:tcPr>
            <w:tcW w:type="dxa" w:w="3360"/>
            <w:vAlign w:val="center"/>
          </w:tcPr>
          <w:p>
            <w:pPr>
              <w:spacing w:after="60" w:before="60"/>
            </w:pPr>
            <w:r>
              <w:t>(–) Các chức năng phụ thuộc lẫn nhau: tính phí và tính lại giá cần có sự kiện hủy chuyến.</w:t>
            </w:r>
          </w:p>
        </w:tc>
        <w:tc>
          <w:tcPr>
            <w:tcW w:type="dxa" w:w="3360"/>
            <w:vAlign w:val="center"/>
          </w:tcPr>
          <w:p>
            <w:pPr>
              <w:spacing w:after="60" w:before="60"/>
            </w:pPr>
            <w:r>
              <w:t>(+) Mỗi tình huống nghiệp vụ có thể được phát triển, kiểm thử theo một luồng hoàn chỉnh, dù vẫn cần tích hợp với các chức năng dùng chung.</w:t>
            </w:r>
          </w:p>
        </w:tc>
      </w:tr>
      <w:tr>
        <w:tc>
          <w:tcPr>
            <w:tcW w:type="dxa" w:w="3360"/>
            <w:vAlign w:val="center"/>
          </w:tcPr>
          <w:p>
            <w:pPr>
              <w:spacing w:after="60" w:before="60"/>
            </w:pPr>
            <w:r>
              <w:t>Small</w:t>
            </w:r>
          </w:p>
        </w:tc>
        <w:tc>
          <w:tcPr>
            <w:tcW w:type="dxa" w:w="3360"/>
            <w:vAlign w:val="center"/>
          </w:tcPr>
          <w:p>
            <w:pPr>
              <w:spacing w:after="60" w:before="60"/>
            </w:pPr>
            <w:r>
              <w:t>(+) Mỗi Feature có phạm vi chức năng hẹp, dễ chia việc cho nhóm phát triển.</w:t>
            </w:r>
          </w:p>
        </w:tc>
        <w:tc>
          <w:tcPr>
            <w:tcW w:type="dxa" w:w="3360"/>
            <w:vAlign w:val="center"/>
          </w:tcPr>
          <w:p>
            <w:pPr>
              <w:spacing w:after="60" w:before="60"/>
            </w:pPr>
            <w:r>
              <w:t>(–) Một Feature theo luồng hoàn chỉnh có thể bao gồm nhiều phần như cập nhật trạng thái, tính phí và xử lý dữ liệu đồng thời.</w:t>
            </w:r>
          </w:p>
        </w:tc>
      </w:tr>
      <w:tr>
        <w:tc>
          <w:tcPr>
            <w:tcW w:type="dxa" w:w="3360"/>
            <w:vAlign w:val="center"/>
          </w:tcPr>
          <w:p>
            <w:pPr>
              <w:spacing w:after="60" w:before="60"/>
            </w:pPr>
            <w:r>
              <w:t>Valuable</w:t>
            </w:r>
          </w:p>
        </w:tc>
        <w:tc>
          <w:tcPr>
            <w:tcW w:type="dxa" w:w="3360"/>
            <w:vAlign w:val="center"/>
          </w:tcPr>
          <w:p>
            <w:pPr>
              <w:spacing w:after="60" w:before="60"/>
            </w:pPr>
            <w:r>
              <w:t>(–) Một chức năng riêng lẻ như tính phí chưa chắc tạo ra giá trị sử dụng nếu chưa kết hợp với quy trình hủy chuyến.</w:t>
            </w:r>
          </w:p>
        </w:tc>
        <w:tc>
          <w:tcPr>
            <w:tcW w:type="dxa" w:w="3360"/>
            <w:vAlign w:val="center"/>
          </w:tcPr>
          <w:p>
            <w:pPr>
              <w:spacing w:after="60" w:before="60"/>
            </w:pPr>
            <w:r>
              <w:t>(+) Mỗi Feature hướng tới một tình huống thực tế, giúp khách hàng hoặc hệ thống giải quyết được một nhu cầu cụ thể.</w:t>
            </w:r>
          </w:p>
        </w:tc>
      </w:tr>
    </w:tbl>
    <w:p>
      <w:pPr>
        <w:pStyle w:val="Heading1"/>
      </w:pPr>
      <w:r>
        <w:t>PHẦN 3. LỰA CHỌN CHIẾN LƯỢC VÀ ĐẶC TẢ</w:t>
      </w:r>
    </w:p>
    <w:p>
      <w:pPr>
        <w:pStyle w:val="Heading2"/>
      </w:pPr>
      <w:r>
        <w:t>3.1. Lựa chọn chiến lược</w:t>
      </w:r>
    </w:p>
    <w:p>
      <w:r>
        <w:rPr>
          <w:b/>
        </w:rPr>
        <w:t>Chọn chiến lược 2 – Phân rã theo giá trị người dùng (Vertical Slicing).</w:t>
      </w:r>
    </w:p>
    <w:p>
      <w:r>
        <w:t>Lý do: Chiến lược này giúp mỗi Feature hướng tới một kết quả nghiệp vụ hoàn chỉnh, dễ kiểm thử và đánh giá sau mỗi Sprint. Đồng thời, nhóm có thể ưu tiên triển khai các luồng hủy chuyến cơ bản trước, sau đó hoàn thiện việc cập nhật giá, thông báo và xử lý đồng thời.</w:t>
      </w:r>
    </w:p>
    <w:p>
      <w:pPr>
        <w:pStyle w:val="Heading2"/>
      </w:pPr>
      <w:r>
        <w:t>3.2. User Story</w:t>
      </w:r>
    </w:p>
    <w:p>
      <w:r>
        <w:rPr>
          <w:b/>
        </w:rPr>
        <w:t>Tên: Hủy chuyến ghép và xác định phí hủy chính xác</w:t>
      </w:r>
    </w:p>
    <w:p>
      <w:r>
        <w:t>Là một khách hàng sử dụng dịch vụ RikkeiGo, tôi muốn hủy chuyến ghép và được tính phí dựa trên thời điểm máy chủ ghi nhận yêu cầu hủy so với thời điểm tài xế nhận chuyến, để đảm bảo phí hủy chính xác và công bằng.</w:t>
      </w:r>
    </w:p>
    <w:p>
      <w:r>
        <w:t>Acceptance Criteria:</w:t>
      </w:r>
    </w:p>
    <w:p>
      <w:pPr>
        <w:pStyle w:val="ListBullet"/>
      </w:pPr>
      <w:r>
        <w:t>Nếu yêu cầu hủy được máy chủ ghi nhận trước thao tác nhận chuyến của tài xế, phí hủy là 0đ.</w:t>
      </w:r>
    </w:p>
    <w:p>
      <w:pPr>
        <w:pStyle w:val="ListBullet"/>
      </w:pPr>
      <w:r>
        <w:t>Nếu yêu cầu hủy được máy chủ ghi nhận sau thao tác nhận chuyến của tài xế, phí hủy là 10.000đ.</w:t>
      </w:r>
    </w:p>
    <w:p>
      <w:pPr>
        <w:pStyle w:val="ListBullet"/>
      </w:pPr>
      <w:r>
        <w:t>Khi khách hủy thành công, hệ thống tính lại giá cho các khách còn lại và gửi thông báo giá mới ngay lập tức.</w:t>
      </w:r>
    </w:p>
    <w:p>
      <w:pPr>
        <w:pStyle w:val="ListBullet"/>
      </w:pPr>
      <w:r>
        <w:t>Nếu hai thao tác xảy ra gần như đồng thời, hệ thống căn cứ vào thứ tự thời điểm ghi nhận trên máy chủ để xác định phí hủy.</w:t>
      </w:r>
    </w:p>
    <w:p>
      <w:pPr>
        <w:pStyle w:val="Heading2"/>
      </w:pPr>
      <w:r>
        <w:t>3.3. Kịch bản Given – When – Then</w:t>
      </w:r>
    </w:p>
    <w:p>
      <w:r>
        <w:rPr>
          <w:b/>
        </w:rPr>
        <w:t xml:space="preserve">Tình huống: </w:t>
      </w:r>
      <w:r>
        <w:t>Khách hàng bấm hủy đúng lúc tài xế vừa bấm nhận chuyến.</w:t>
      </w:r>
    </w:p>
    <w:p>
      <w:r>
        <w:rPr>
          <w:b/>
        </w:rPr>
        <w:t>Given (Tiền điều kiện):</w:t>
      </w:r>
    </w:p>
    <w:p>
      <w:pPr>
        <w:pStyle w:val="ListBullet"/>
      </w:pPr>
      <w:r>
        <w:t>Khách hàng A đang tham gia một chuyến ghép.</w:t>
      </w:r>
    </w:p>
    <w:p>
      <w:pPr>
        <w:pStyle w:val="ListBullet"/>
      </w:pPr>
      <w:r>
        <w:t>Tài xế chưa nhận chuyến tại thời điểm trước khi hai thao tác xảy ra.</w:t>
      </w:r>
    </w:p>
    <w:p>
      <w:pPr>
        <w:pStyle w:val="ListBullet"/>
      </w:pPr>
      <w:r>
        <w:t>Khách hàng A gửi yêu cầu hủy trong lúc tài xế cũng gửi yêu cầu nhận chuyến.</w:t>
      </w:r>
    </w:p>
    <w:p>
      <w:r>
        <w:rPr>
          <w:b/>
        </w:rPr>
        <w:t>When (Hành động):</w:t>
      </w:r>
    </w:p>
    <w:p>
      <w:pPr>
        <w:pStyle w:val="ListBullet"/>
      </w:pPr>
      <w:r>
        <w:t>Máy chủ ghi nhận thao tác nhận chuyến của tài xế trước.</w:t>
      </w:r>
    </w:p>
    <w:p>
      <w:pPr>
        <w:pStyle w:val="ListBullet"/>
      </w:pPr>
      <w:r>
        <w:t>Sau đó, máy chủ ghi nhận yêu cầu hủy chuyến của khách hàng A.</w:t>
      </w:r>
    </w:p>
    <w:p>
      <w:r>
        <w:rPr>
          <w:b/>
        </w:rPr>
        <w:t>Then (Kết quả mong đợi):</w:t>
      </w:r>
    </w:p>
    <w:p>
      <w:pPr>
        <w:pStyle w:val="ListBullet"/>
      </w:pPr>
      <w:r>
        <w:t>Hệ thống xác định tài xế đã nhận chuyến trước thời điểm hủy được ghi nhận.</w:t>
      </w:r>
    </w:p>
    <w:p>
      <w:pPr>
        <w:pStyle w:val="ListBullet"/>
      </w:pPr>
      <w:r>
        <w:t>Khách hàng A phải trả phí hủy 10.000đ.</w:t>
      </w:r>
    </w:p>
    <w:p>
      <w:pPr>
        <w:pStyle w:val="ListBullet"/>
      </w:pPr>
      <w:r>
        <w:t>Hệ thống cập nhật trạng thái hủy chuyến của khách hàng A.</w:t>
      </w:r>
    </w:p>
    <w:p>
      <w:pPr>
        <w:pStyle w:val="ListBullet"/>
      </w:pPr>
      <w:r>
        <w:t>Hệ thống tính lại giá cho các khách còn lại và gửi thông báo giá mới ngay lập tức.</w:t>
      </w:r>
    </w:p>
    <w:p>
      <w:r>
        <w:rPr>
          <w:b/>
        </w:rPr>
        <w:t xml:space="preserve">Lưu ý nghiệp vụ: </w:t>
      </w:r>
      <w:r>
        <w:t>Nếu máy chủ ghi nhận yêu cầu hủy trước thao tác nhận chuyến thì khách hàng A được miễn phí. Việc xác định phí không dựa vào thời điểm khách bấm nút trên thiết bị hay thời điểm tài xế bấm nút, mà dựa vào thứ tự ghi nhận hợp lệ trên máy chủ.</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