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BÀI TẬP AGILE – ƯU TIÊN MoSCoW</w:t>
      </w:r>
    </w:p>
    <w:p>
      <w:pPr>
        <w:jc w:val="center"/>
      </w:pPr>
      <w:r>
        <w:rPr>
          <w:i/>
          <w:sz w:val="22"/>
        </w:rPr>
        <w:t>Tình huống: Chương trình “Tháng khuyến mãi” – RikkeiGo</w:t>
      </w:r>
    </w:p>
    <w:p>
      <w:pPr>
        <w:pStyle w:val="Heading1"/>
      </w:pPr>
      <w:r>
        <w:t>1. Bối cảnh và nguyên tắc phân loại</w:t>
      </w:r>
    </w:p>
    <w:p>
      <w:r>
        <w:t>RikkeiGo dự kiến phát hành bản mới vào cuối Sprint tới cho chương trình “Tháng khuyến mãi”. Do không thể hoàn thành cả 6 hạng mục trong một Sprint, Product Owner (Đức) cần thống nhất thứ tự ưu tiên cùng Scrum Master (Lan) và các bên liên quan.</w:t>
      </w:r>
    </w:p>
    <w:p>
      <w:r>
        <w:t>Nhãn MoSCoW được áp dụng riêng cho bản phát hành cuối Sprint tới:</w:t>
      </w:r>
    </w:p>
    <w:p>
      <w:pPr>
        <w:pStyle w:val="ListBullet"/>
      </w:pPr>
      <w:r>
        <w:t>Must: Thiếu hạng mục này thì không thể phát hành bản mới.</w:t>
      </w:r>
    </w:p>
    <w:p>
      <w:pPr>
        <w:pStyle w:val="ListBullet"/>
      </w:pPr>
      <w:r>
        <w:t>Should: Rất cần thiết, nhưng hiện vẫn có cách làm tạm thời.</w:t>
      </w:r>
    </w:p>
    <w:p>
      <w:pPr>
        <w:pStyle w:val="ListBullet"/>
      </w:pPr>
      <w:r>
        <w:t>Could: Có thì tốt hơn; nếu bỏ lần này, mức ảnh hưởng không lớn.</w:t>
      </w:r>
    </w:p>
    <w:p>
      <w:pPr>
        <w:pStyle w:val="ListBullet"/>
      </w:pPr>
      <w:r>
        <w:t>Won’t: Thống nhất không thực hiện trong lần phát hành này và phải thông báo rõ cho bên đề xuất.</w:t>
      </w:r>
    </w:p>
    <w:p>
      <w:pPr>
        <w:pStyle w:val="Heading1"/>
      </w:pPr>
      <w:r>
        <w:t>2. Phần 1 – Bảng phân loại MoSCoW</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504"/>
            <w:vAlign w:val="center"/>
            <w:shd w:fill="1F4E79"/>
          </w:tcPr>
          <w:p>
            <w:pPr>
              <w:jc w:val="center"/>
            </w:pPr>
            <w:r>
              <w:rPr>
                <w:b/>
                <w:color w:val="FFFFFF"/>
                <w:sz w:val="18"/>
              </w:rPr>
              <w:t>#</w:t>
            </w:r>
          </w:p>
        </w:tc>
        <w:tc>
          <w:tcPr>
            <w:tcW w:type="dxa" w:w="3240"/>
            <w:vAlign w:val="center"/>
            <w:shd w:fill="1F4E79"/>
          </w:tcPr>
          <w:p>
            <w:pPr>
              <w:jc w:val="center"/>
            </w:pPr>
            <w:r>
              <w:rPr>
                <w:b/>
                <w:color w:val="FFFFFF"/>
                <w:sz w:val="18"/>
              </w:rPr>
              <w:t>Hạng mục</w:t>
            </w:r>
          </w:p>
        </w:tc>
        <w:tc>
          <w:tcPr>
            <w:tcW w:type="dxa" w:w="1224"/>
            <w:vAlign w:val="center"/>
            <w:shd w:fill="1F4E79"/>
          </w:tcPr>
          <w:p>
            <w:pPr>
              <w:jc w:val="center"/>
            </w:pPr>
            <w:r>
              <w:rPr>
                <w:b/>
                <w:color w:val="FFFFFF"/>
                <w:sz w:val="18"/>
              </w:rPr>
              <w:t>Nhãn MoSCoW</w:t>
            </w:r>
          </w:p>
        </w:tc>
        <w:tc>
          <w:tcPr>
            <w:tcW w:type="dxa" w:w="5472"/>
            <w:vAlign w:val="center"/>
            <w:shd w:fill="1F4E79"/>
          </w:tcPr>
          <w:p>
            <w:pPr>
              <w:jc w:val="center"/>
            </w:pPr>
            <w:r>
              <w:rPr>
                <w:b/>
                <w:color w:val="FFFFFF"/>
                <w:sz w:val="18"/>
              </w:rPr>
              <w:t>Vì sao chọn nhãn này</w:t>
            </w:r>
          </w:p>
        </w:tc>
      </w:tr>
      <w:tr>
        <w:tc>
          <w:tcPr>
            <w:tcW w:type="dxa" w:w="504"/>
            <w:vAlign w:val="center"/>
          </w:tcPr>
          <w:p>
            <w:pPr>
              <w:spacing w:after="60"/>
              <w:jc w:val="center"/>
            </w:pPr>
            <w:r>
              <w:rPr>
                <w:sz w:val="17"/>
              </w:rPr>
              <w:t>1</w:t>
            </w:r>
          </w:p>
        </w:tc>
        <w:tc>
          <w:tcPr>
            <w:tcW w:type="dxa" w:w="3240"/>
            <w:vAlign w:val="center"/>
          </w:tcPr>
          <w:p>
            <w:pPr>
              <w:spacing w:after="60"/>
            </w:pPr>
            <w:r>
              <w:rPr>
                <w:sz w:val="17"/>
              </w:rPr>
              <w:t>Sửa lỗi hiển thị sai cước sau khuyến mãi (đang thu sai tiền khách)</w:t>
            </w:r>
          </w:p>
        </w:tc>
        <w:tc>
          <w:tcPr>
            <w:tcW w:type="dxa" w:w="1224"/>
            <w:vAlign w:val="center"/>
          </w:tcPr>
          <w:p>
            <w:pPr>
              <w:spacing w:after="60"/>
              <w:jc w:val="center"/>
            </w:pPr>
            <w:r>
              <w:rPr>
                <w:b/>
                <w:color w:val="C00000"/>
                <w:sz w:val="18"/>
              </w:rPr>
              <w:t>MUST</w:t>
            </w:r>
          </w:p>
        </w:tc>
        <w:tc>
          <w:tcPr>
            <w:tcW w:type="dxa" w:w="5472"/>
            <w:vAlign w:val="center"/>
          </w:tcPr>
          <w:p>
            <w:pPr>
              <w:spacing w:after="60"/>
            </w:pPr>
            <w:r>
              <w:rPr>
                <w:sz w:val="17"/>
              </w:rPr>
              <w:t>Nếu không sửa, bản mới có nguy cơ tiếp tục thu sai tiền khách. Đây là lỗi ảnh hưởng trực tiếp đến tính đúng đắn của thanh toán và niềm tin của khách hàng, nên phải xử lý trước khi phát hành.</w:t>
            </w:r>
          </w:p>
        </w:tc>
      </w:tr>
      <w:tr>
        <w:tc>
          <w:tcPr>
            <w:tcW w:type="dxa" w:w="504"/>
            <w:vAlign w:val="center"/>
          </w:tcPr>
          <w:p>
            <w:pPr>
              <w:spacing w:after="60"/>
              <w:jc w:val="center"/>
            </w:pPr>
            <w:r>
              <w:rPr>
                <w:sz w:val="17"/>
              </w:rPr>
              <w:t>2</w:t>
            </w:r>
          </w:p>
        </w:tc>
        <w:tc>
          <w:tcPr>
            <w:tcW w:type="dxa" w:w="3240"/>
            <w:vAlign w:val="center"/>
          </w:tcPr>
          <w:p>
            <w:pPr>
              <w:spacing w:after="60"/>
            </w:pPr>
            <w:r>
              <w:rPr>
                <w:sz w:val="17"/>
              </w:rPr>
              <w:t>Áp mã khuyến mãi khi đặt xe</w:t>
            </w:r>
          </w:p>
        </w:tc>
        <w:tc>
          <w:tcPr>
            <w:tcW w:type="dxa" w:w="1224"/>
            <w:vAlign w:val="center"/>
          </w:tcPr>
          <w:p>
            <w:pPr>
              <w:spacing w:after="60"/>
              <w:jc w:val="center"/>
            </w:pPr>
            <w:r>
              <w:rPr>
                <w:b/>
                <w:color w:val="C00000"/>
                <w:sz w:val="18"/>
              </w:rPr>
              <w:t>MUST</w:t>
            </w:r>
          </w:p>
        </w:tc>
        <w:tc>
          <w:tcPr>
            <w:tcW w:type="dxa" w:w="5472"/>
            <w:vAlign w:val="center"/>
          </w:tcPr>
          <w:p>
            <w:pPr>
              <w:spacing w:after="60"/>
            </w:pPr>
            <w:r>
              <w:rPr>
                <w:sz w:val="17"/>
              </w:rPr>
              <w:t>Đây là chức năng cốt lõi để khách sử dụng chương trình “Tháng khuyến mãi”. Nếu không áp được mã, mục tiêu chính của đợt phát hành không đạt được.</w:t>
            </w:r>
          </w:p>
        </w:tc>
      </w:tr>
      <w:tr>
        <w:tc>
          <w:tcPr>
            <w:tcW w:type="dxa" w:w="504"/>
            <w:vAlign w:val="center"/>
          </w:tcPr>
          <w:p>
            <w:pPr>
              <w:spacing w:after="60"/>
              <w:jc w:val="center"/>
            </w:pPr>
            <w:r>
              <w:rPr>
                <w:sz w:val="17"/>
              </w:rPr>
              <w:t>3</w:t>
            </w:r>
          </w:p>
        </w:tc>
        <w:tc>
          <w:tcPr>
            <w:tcW w:type="dxa" w:w="3240"/>
            <w:vAlign w:val="center"/>
          </w:tcPr>
          <w:p>
            <w:pPr>
              <w:spacing w:after="60"/>
            </w:pPr>
            <w:r>
              <w:rPr>
                <w:sz w:val="17"/>
              </w:rPr>
              <w:t>Thanh toán bằng ví RikkeiPay (khách vẫn trả được tiền mặt)</w:t>
            </w:r>
          </w:p>
        </w:tc>
        <w:tc>
          <w:tcPr>
            <w:tcW w:type="dxa" w:w="1224"/>
            <w:vAlign w:val="center"/>
          </w:tcPr>
          <w:p>
            <w:pPr>
              <w:spacing w:after="60"/>
              <w:jc w:val="center"/>
            </w:pPr>
            <w:r>
              <w:rPr>
                <w:b/>
                <w:color w:val="00704A"/>
                <w:sz w:val="18"/>
              </w:rPr>
              <w:t>COULD</w:t>
            </w:r>
          </w:p>
        </w:tc>
        <w:tc>
          <w:tcPr>
            <w:tcW w:type="dxa" w:w="5472"/>
            <w:vAlign w:val="center"/>
          </w:tcPr>
          <w:p>
            <w:pPr>
              <w:spacing w:after="60"/>
            </w:pPr>
            <w:r>
              <w:rPr>
                <w:sz w:val="17"/>
              </w:rPr>
              <w:t>Khách vẫn có thể hoàn tất chuyến đi bằng tiền mặt, nên bản mới vẫn phát hành và dịch vụ vẫn hoạt động nếu chưa có ví RikkeiPay. Ví điện tử làm tăng tiện ích nhưng không bắt buộc trong bối cảnh hiện tại.</w:t>
            </w:r>
          </w:p>
        </w:tc>
      </w:tr>
      <w:tr>
        <w:tc>
          <w:tcPr>
            <w:tcW w:type="dxa" w:w="504"/>
            <w:vAlign w:val="center"/>
          </w:tcPr>
          <w:p>
            <w:pPr>
              <w:spacing w:after="60"/>
              <w:jc w:val="center"/>
            </w:pPr>
            <w:r>
              <w:rPr>
                <w:sz w:val="17"/>
              </w:rPr>
              <w:t>4</w:t>
            </w:r>
          </w:p>
        </w:tc>
        <w:tc>
          <w:tcPr>
            <w:tcW w:type="dxa" w:w="3240"/>
            <w:vAlign w:val="center"/>
          </w:tcPr>
          <w:p>
            <w:pPr>
              <w:spacing w:after="60"/>
            </w:pPr>
            <w:r>
              <w:rPr>
                <w:sz w:val="17"/>
              </w:rPr>
              <w:t>Hẹn giờ đặt xe trước (không cần cho chương trình khuyến mãi; đội chưa bàn xong cách làm)</w:t>
            </w:r>
          </w:p>
        </w:tc>
        <w:tc>
          <w:tcPr>
            <w:tcW w:type="dxa" w:w="1224"/>
            <w:vAlign w:val="center"/>
          </w:tcPr>
          <w:p>
            <w:pPr>
              <w:spacing w:after="60"/>
              <w:jc w:val="center"/>
            </w:pPr>
            <w:r>
              <w:rPr>
                <w:b/>
                <w:color w:val="595959"/>
                <w:sz w:val="18"/>
              </w:rPr>
              <w:t>WON’T</w:t>
            </w:r>
          </w:p>
        </w:tc>
        <w:tc>
          <w:tcPr>
            <w:tcW w:type="dxa" w:w="5472"/>
            <w:vAlign w:val="center"/>
          </w:tcPr>
          <w:p>
            <w:pPr>
              <w:spacing w:after="60"/>
            </w:pPr>
            <w:r>
              <w:rPr>
                <w:sz w:val="17"/>
              </w:rPr>
              <w:t>Không phục vụ trực tiếp mục tiêu của đợt khuyến mãi và yêu cầu vẫn chưa được làm rõ. Thống nhất không làm trong bản phát hành này; cần thông báo quyết định và lý do cho bên đề xuất.</w:t>
            </w:r>
          </w:p>
        </w:tc>
      </w:tr>
      <w:tr>
        <w:tc>
          <w:tcPr>
            <w:tcW w:type="dxa" w:w="504"/>
            <w:vAlign w:val="center"/>
          </w:tcPr>
          <w:p>
            <w:pPr>
              <w:spacing w:after="60"/>
              <w:jc w:val="center"/>
            </w:pPr>
            <w:r>
              <w:rPr>
                <w:sz w:val="17"/>
              </w:rPr>
              <w:t>5</w:t>
            </w:r>
          </w:p>
        </w:tc>
        <w:tc>
          <w:tcPr>
            <w:tcW w:type="dxa" w:w="3240"/>
            <w:vAlign w:val="center"/>
          </w:tcPr>
          <w:p>
            <w:pPr>
              <w:spacing w:after="60"/>
            </w:pPr>
            <w:r>
              <w:rPr>
                <w:sz w:val="17"/>
              </w:rPr>
              <w:t>Chat với tài xế (khách vẫn gọi điện được)</w:t>
            </w:r>
          </w:p>
        </w:tc>
        <w:tc>
          <w:tcPr>
            <w:tcW w:type="dxa" w:w="1224"/>
            <w:vAlign w:val="center"/>
          </w:tcPr>
          <w:p>
            <w:pPr>
              <w:spacing w:after="60"/>
              <w:jc w:val="center"/>
            </w:pPr>
            <w:r>
              <w:rPr>
                <w:b/>
                <w:color w:val="00704A"/>
                <w:sz w:val="18"/>
              </w:rPr>
              <w:t>COULD</w:t>
            </w:r>
          </w:p>
        </w:tc>
        <w:tc>
          <w:tcPr>
            <w:tcW w:type="dxa" w:w="5472"/>
            <w:vAlign w:val="center"/>
          </w:tcPr>
          <w:p>
            <w:pPr>
              <w:spacing w:after="60"/>
            </w:pPr>
            <w:r>
              <w:rPr>
                <w:sz w:val="17"/>
              </w:rPr>
              <w:t>Dù Chăm sóc khách hàng mong muốn, chat không phải điều kiện để phát hành vì khách vẫn liên hệ tài xế bằng cuộc gọi. Có thể đưa vào lần sau; không nên gắn nhãn Must chỉ vì một bộ phận yêu cầu.</w:t>
            </w:r>
          </w:p>
        </w:tc>
      </w:tr>
      <w:tr>
        <w:tc>
          <w:tcPr>
            <w:tcW w:type="dxa" w:w="504"/>
            <w:vAlign w:val="center"/>
          </w:tcPr>
          <w:p>
            <w:pPr>
              <w:spacing w:after="60"/>
              <w:jc w:val="center"/>
            </w:pPr>
            <w:r>
              <w:rPr>
                <w:sz w:val="17"/>
              </w:rPr>
              <w:t>6</w:t>
            </w:r>
          </w:p>
        </w:tc>
        <w:tc>
          <w:tcPr>
            <w:tcW w:type="dxa" w:w="3240"/>
            <w:vAlign w:val="center"/>
          </w:tcPr>
          <w:p>
            <w:pPr>
              <w:spacing w:after="60"/>
            </w:pPr>
            <w:r>
              <w:rPr>
                <w:sz w:val="17"/>
              </w:rPr>
              <w:t>Giao diện trang trí cho chương trình khuyến mãi</w:t>
            </w:r>
          </w:p>
        </w:tc>
        <w:tc>
          <w:tcPr>
            <w:tcW w:type="dxa" w:w="1224"/>
            <w:vAlign w:val="center"/>
          </w:tcPr>
          <w:p>
            <w:pPr>
              <w:spacing w:after="60"/>
              <w:jc w:val="center"/>
            </w:pPr>
            <w:r>
              <w:rPr>
                <w:b/>
                <w:color w:val="00704A"/>
                <w:sz w:val="18"/>
              </w:rPr>
              <w:t>COULD</w:t>
            </w:r>
          </w:p>
        </w:tc>
        <w:tc>
          <w:tcPr>
            <w:tcW w:type="dxa" w:w="5472"/>
            <w:vAlign w:val="center"/>
          </w:tcPr>
          <w:p>
            <w:pPr>
              <w:spacing w:after="60"/>
            </w:pPr>
            <w:r>
              <w:rPr>
                <w:sz w:val="17"/>
              </w:rPr>
              <w:t>Dù Marketing muốn ưu tiên cao vì phù hợp dịp khuyến mãi, giao diện trang trí không quyết định khách có áp mã và đặt xe được hay không. Nếu bỏ, chương trình vẫn có thể vận hành; vì vậy đây không phải Must.</w:t>
            </w:r>
          </w:p>
        </w:tc>
      </w:tr>
    </w:tbl>
    <w:p/>
    <w:p>
      <w:r>
        <w:rPr>
          <w:b/>
        </w:rPr>
        <w:t xml:space="preserve">Lưu ý về cách ưu tiên: </w:t>
      </w:r>
      <w:r>
        <w:t>Nhãn được chọn theo phạm vi của bản phát hành này, không phải mức độ hữu ích lâu dài. Nếu có thông tin mới làm thay đổi điều kiện phát hành hoặc cách khách sử dụng dịch vụ, PO cần đánh giá lại.</w:t>
      </w:r>
    </w:p>
    <w:p>
      <w:pPr>
        <w:pStyle w:val="Heading1"/>
      </w:pPr>
      <w:r>
        <w:t>3. Phần 2 – Khi tình hình thay đổi</w:t>
      </w:r>
    </w:p>
    <w:p>
      <w:pPr>
        <w:pStyle w:val="Heading2"/>
      </w:pPr>
      <w:r>
        <w:t>(a) Sprint chậm 2 ngày, phải bỏ bớt việc</w:t>
      </w:r>
    </w:p>
    <w:p>
      <w:r>
        <w:t>Nên bỏ trước các hạng mục Could, bắt đầu từ #6 (giao diện trang trí), sau đó cân nhắc #5 (chat với tài xế) và #3 (ví RikkeiPay) theo năng lực còn lại. Giữ #1 và #2 đến cùng vì sửa lỗi thu sai cước và áp mã khuyến mãi là điều kiện cốt lõi để bản phát hành đạt mục tiêu và tránh ảnh hưởng trực tiếp đến khách hàng; #4 đã được thống nhất Won’t trong lần này.</w:t>
      </w:r>
    </w:p>
    <w:p>
      <w:pPr>
        <w:pStyle w:val="Heading2"/>
      </w:pPr>
      <w:r>
        <w:t>(b) Từ bản mới này, tài xế không nhận tiền mặt nữa</w:t>
      </w:r>
    </w:p>
    <w:p>
      <w:r>
        <w:t>Có, nhãn #3 cần đổi từ Could thành Must nếu RikkeiPay là phương thức thanh toán duy nhất được hỗ trợ trong bản mới. Khi không còn trả tiền mặt, thiếu ví RikkeiPay sẽ khiến khách không thể thanh toán chuyến đi, nên bản phát hành không thể đáp ứng luồng sử dụng bắt buộc.</w:t>
      </w:r>
    </w:p>
    <w:p>
      <w:pPr>
        <w:pStyle w:val="Heading1"/>
      </w:pPr>
      <w:r>
        <w:t>4. Kết luận</w:t>
      </w:r>
    </w:p>
    <w:p>
      <w:r>
        <w:t>Với phạm vi hiện tại, ưu tiên cao nhất là bảo đảm tính đúng đắn của cước và chức năng áp mã khuyến mãi. Các tiện ích có phương án thay thế hoặc phần trang trí không nên được nâng thành Must chỉ vì mong muốn của một bộ phận. Product Owner cần chốt ưu tiên dựa trên mục tiêu phát hành, tác động tới khách hàng và các phương án thay thế thực tế.</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RikkeiGo | Bài tập MoSCoW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