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BÀI TẬP SO SÁNH THIẾT KẾ LUỒNG THÔNG ĐIỆP</w:t>
      </w:r>
    </w:p>
    <w:p>
      <w:pPr>
        <w:jc w:val="center"/>
      </w:pPr>
      <w:r>
        <w:rPr>
          <w:b/>
          <w:sz w:val="26"/>
        </w:rPr>
        <w:t>Rikkei Logistics Tracking Portal</w:t>
      </w:r>
    </w:p>
    <w:p>
      <w:r>
        <w:rPr>
          <w:b/>
          <w:sz w:val="26"/>
        </w:rPr>
        <w:t>1. Mục tiêu bài tập</w:t>
      </w:r>
    </w:p>
    <w:p>
      <w:r>
        <w:t>Đề xuất và so sánh Ưu/Nhược điểm giữa 2 phương án thiết kế luồng thông điệp khác nhau cho cùng một nghiệp vụ tra cứu vị trí vận đơn.</w:t>
      </w:r>
    </w:p>
    <w:p>
      <w:r>
        <w:rPr>
          <w:b/>
          <w:sz w:val="26"/>
        </w:rPr>
        <w:t>2. Bối cảnh và yêu cầu bài toán</w:t>
      </w:r>
    </w:p>
    <w:p>
      <w:r>
        <w:t>Cổng Rikkei Logistics Tracking Portal cho phép khách hàng tra cứu vị trí vận đơn thông qua nghiệp vụ track_waybill(waybill_code). Vào giờ cao điểm, số lượng khách hàng tra cứu tăng cao nên hệ thống cần phản hồi nhanh và hạn chế các bước trung gian không cần thiết.</w:t>
      </w:r>
    </w:p>
    <w:p>
      <w:r>
        <w:rPr>
          <w:b/>
          <w:sz w:val="26"/>
        </w:rPr>
        <w:t>3. Phần 1 – Chuỗi thông điệp của 2 phương án</w:t>
      </w:r>
    </w:p>
    <w:p>
      <w:r>
        <w:rPr>
          <w:b/>
        </w:rPr>
        <w:t>Phương án A – TrackingPortalUI truy vấn trực tiếp WaybillDB</w:t>
      </w:r>
    </w:p>
    <w:p>
      <w:pPr>
        <w:pStyle w:val="ListBullet"/>
        <w:spacing w:after="60"/>
      </w:pPr>
      <w:r>
        <w:t>Khách hàng → TrackingPortalUI: yêu cầu tra cứu vận đơn bằng track_waybill(waybill_code).</w:t>
      </w:r>
    </w:p>
    <w:p>
      <w:pPr>
        <w:pStyle w:val="ListBullet"/>
        <w:spacing w:after="60"/>
      </w:pPr>
      <w:r>
        <w:t>TrackingPortalUI → WaybillDB: gửi thông điệp Đồng bộ (Synchronous) để truy vấn thông tin vận đơn.</w:t>
      </w:r>
    </w:p>
    <w:p>
      <w:pPr>
        <w:pStyle w:val="ListBullet"/>
        <w:spacing w:after="60"/>
      </w:pPr>
      <w:r>
        <w:t>WaybillDB → TrackingPortalUI: gửi Phản hồi (Return) chứa thông tin vị trí vận đơn.</w:t>
      </w:r>
    </w:p>
    <w:p>
      <w:pPr>
        <w:pStyle w:val="ListBullet"/>
        <w:spacing w:after="60"/>
      </w:pPr>
      <w:r>
        <w:t>TrackingPortalUI → Khách hàng: hiển thị kết quả tra cứu.</w:t>
      </w:r>
    </w:p>
    <w:p>
      <w:r>
        <w:rPr>
          <w:b/>
        </w:rPr>
        <w:t xml:space="preserve">Chuỗi tóm tắt: </w:t>
      </w:r>
      <w:r>
        <w:t>Khách hàng → TrackingPortalUI → WaybillDB → TrackingPortalUI → Khách hàng.</w:t>
      </w:r>
    </w:p>
    <w:p>
      <w:r>
        <w:rPr>
          <w:b/>
        </w:rPr>
        <w:t>Phương án B – TrackingPortalUI truy vấn CacheService trước</w:t>
      </w:r>
    </w:p>
    <w:p>
      <w:pPr>
        <w:pStyle w:val="ListBullet"/>
        <w:spacing w:after="60"/>
      </w:pPr>
      <w:r>
        <w:t>Khách hàng → TrackingPortalUI: yêu cầu tra cứu vận đơn bằng track_waybill(waybill_code).</w:t>
      </w:r>
    </w:p>
    <w:p>
      <w:pPr>
        <w:pStyle w:val="ListBullet"/>
        <w:spacing w:after="60"/>
      </w:pPr>
      <w:r>
        <w:t>TrackingPortalUI → CacheService: gửi thông điệp Đồng bộ (Synchronous) để kiểm tra dữ liệu cache.</w:t>
      </w:r>
    </w:p>
    <w:p>
      <w:pPr>
        <w:pStyle w:val="ListBullet"/>
        <w:spacing w:after="60"/>
      </w:pPr>
      <w:r>
        <w:t>Nếu CacheService có dữ liệu: CacheService → TrackingPortalUI: gửi Phản hồi (Return) ngay kết quả đã lưu.</w:t>
      </w:r>
    </w:p>
    <w:p>
      <w:pPr>
        <w:pStyle w:val="ListBullet"/>
        <w:spacing w:after="60"/>
      </w:pPr>
      <w:r>
        <w:t>Nếu CacheService không có dữ liệu: CacheService → WaybillDB: gửi thông điệp Đồng bộ để truy vấn dữ liệu vận đơn.</w:t>
      </w:r>
    </w:p>
    <w:p>
      <w:pPr>
        <w:pStyle w:val="ListBullet"/>
        <w:spacing w:after="60"/>
      </w:pPr>
      <w:r>
        <w:t>WaybillDB → CacheService: gửi Phản hồi (Return) chứa thông tin vận đơn.</w:t>
      </w:r>
    </w:p>
    <w:p>
      <w:pPr>
        <w:pStyle w:val="ListBullet"/>
        <w:spacing w:after="60"/>
      </w:pPr>
      <w:r>
        <w:t>CacheService → TrackingPortalUI: gửi Phản hồi (Return) chứa kết quả.</w:t>
      </w:r>
    </w:p>
    <w:p>
      <w:pPr>
        <w:pStyle w:val="ListBullet"/>
        <w:spacing w:after="60"/>
      </w:pPr>
      <w:r>
        <w:t>TrackingPortalUI → Khách hàng: hiển thị kết quả tra cứu.</w:t>
      </w:r>
    </w:p>
    <w:p>
      <w:r>
        <w:rPr>
          <w:b/>
        </w:rPr>
        <w:t xml:space="preserve">Chuỗi khi Cache Hit: </w:t>
      </w:r>
      <w:r>
        <w:t>Khách hàng → TrackingPortalUI → CacheService → TrackingPortalUI → Khách hàng.</w:t>
      </w:r>
    </w:p>
    <w:p>
      <w:r>
        <w:rPr>
          <w:b/>
        </w:rPr>
        <w:t xml:space="preserve">Chuỗi khi Cache Miss: </w:t>
      </w:r>
      <w:r>
        <w:t>Khách hàng → TrackingPortalUI → CacheService → WaybillDB → CacheService → TrackingPortalUI → Khách hàng.</w:t>
      </w:r>
    </w:p>
    <w:p>
      <w:r>
        <w:rPr>
          <w:b/>
          <w:sz w:val="26"/>
        </w:rPr>
        <w:t>4. Phần 2 – Bảng so sánh ưu điểm và nhược điểm</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rPr>
                <w:rFonts w:ascii="Times New Roman" w:hAnsi="Times New Roman"/>
                <w:b/>
                <w:sz w:val="21"/>
              </w:rPr>
              <w:t>Tiêu chí</w:t>
            </w:r>
          </w:p>
        </w:tc>
        <w:tc>
          <w:tcPr>
            <w:tcW w:type="dxa" w:w="3312"/>
          </w:tcPr>
          <w:p>
            <w:r>
              <w:rPr>
                <w:rFonts w:ascii="Times New Roman" w:hAnsi="Times New Roman"/>
                <w:b/>
                <w:sz w:val="21"/>
              </w:rPr>
              <w:t>Phương án A</w:t>
            </w:r>
          </w:p>
        </w:tc>
        <w:tc>
          <w:tcPr>
            <w:tcW w:type="dxa" w:w="3312"/>
          </w:tcPr>
          <w:p>
            <w:r>
              <w:rPr>
                <w:rFonts w:ascii="Times New Roman" w:hAnsi="Times New Roman"/>
                <w:b/>
                <w:sz w:val="21"/>
              </w:rPr>
              <w:t>Phương án B</w:t>
            </w:r>
          </w:p>
        </w:tc>
      </w:tr>
      <w:tr>
        <w:tc>
          <w:tcPr>
            <w:tcW w:type="dxa" w:w="3312"/>
            <w:vAlign w:val="center"/>
          </w:tcPr>
          <w:p>
            <w:r>
              <w:rPr>
                <w:rFonts w:ascii="Times New Roman" w:hAnsi="Times New Roman"/>
                <w:b/>
                <w:sz w:val="21"/>
              </w:rPr>
              <w:t>Tốc độ phản hồi – Ưu điểm</w:t>
            </w:r>
          </w:p>
        </w:tc>
        <w:tc>
          <w:tcPr>
            <w:tcW w:type="dxa" w:w="3312"/>
            <w:vAlign w:val="center"/>
          </w:tcPr>
          <w:p>
            <w:r>
              <w:rPr>
                <w:rFonts w:ascii="Times New Roman" w:hAnsi="Times New Roman"/>
                <w:sz w:val="21"/>
              </w:rPr>
              <w:t>Luồng ngắn, truy vấn trực tiếp WaybillDB nên không phải kiểm tra thêm một tầng trung gian.</w:t>
            </w:r>
          </w:p>
        </w:tc>
        <w:tc>
          <w:tcPr>
            <w:tcW w:type="dxa" w:w="3312"/>
            <w:vAlign w:val="center"/>
          </w:tcPr>
          <w:p>
            <w:r>
              <w:rPr>
                <w:rFonts w:ascii="Times New Roman" w:hAnsi="Times New Roman"/>
                <w:sz w:val="21"/>
              </w:rPr>
              <w:t>Khi Cache Hit, kết quả được trả về từ CacheService nên phản hồi nhanh, giảm số lần truy vấn trực tiếp CSDL.</w:t>
            </w:r>
          </w:p>
        </w:tc>
      </w:tr>
      <w:tr>
        <w:tc>
          <w:tcPr>
            <w:tcW w:type="dxa" w:w="3312"/>
            <w:vAlign w:val="center"/>
          </w:tcPr>
          <w:p>
            <w:r>
              <w:rPr>
                <w:rFonts w:ascii="Times New Roman" w:hAnsi="Times New Roman"/>
                <w:b/>
                <w:sz w:val="21"/>
              </w:rPr>
              <w:t>Tốc độ phản hồi – Nhược điểm</w:t>
            </w:r>
          </w:p>
        </w:tc>
        <w:tc>
          <w:tcPr>
            <w:tcW w:type="dxa" w:w="3312"/>
            <w:vAlign w:val="center"/>
          </w:tcPr>
          <w:p>
            <w:r>
              <w:rPr>
                <w:rFonts w:ascii="Times New Roman" w:hAnsi="Times New Roman"/>
                <w:sz w:val="21"/>
              </w:rPr>
              <w:t>Vào giờ cao điểm, nhiều yêu cầu cùng truy vấn WaybillDB có thể làm tăng tải CSDL và thời gian chờ.</w:t>
            </w:r>
          </w:p>
        </w:tc>
        <w:tc>
          <w:tcPr>
            <w:tcW w:type="dxa" w:w="3312"/>
            <w:vAlign w:val="center"/>
          </w:tcPr>
          <w:p>
            <w:r>
              <w:rPr>
                <w:rFonts w:ascii="Times New Roman" w:hAnsi="Times New Roman"/>
                <w:sz w:val="21"/>
              </w:rPr>
              <w:t>Khi Cache Miss, phải đi qua CacheService rồi mới tới WaybillDB nên có thêm độ trễ và nhiều bước hơn.</w:t>
            </w:r>
          </w:p>
        </w:tc>
      </w:tr>
      <w:tr>
        <w:tc>
          <w:tcPr>
            <w:tcW w:type="dxa" w:w="3312"/>
            <w:vAlign w:val="center"/>
          </w:tcPr>
          <w:p>
            <w:r>
              <w:rPr>
                <w:rFonts w:ascii="Times New Roman" w:hAnsi="Times New Roman"/>
                <w:b/>
                <w:sz w:val="21"/>
              </w:rPr>
              <w:t>Độ phức tạp luồng thông điệp – Ưu điểm</w:t>
            </w:r>
          </w:p>
        </w:tc>
        <w:tc>
          <w:tcPr>
            <w:tcW w:type="dxa" w:w="3312"/>
            <w:vAlign w:val="center"/>
          </w:tcPr>
          <w:p>
            <w:r>
              <w:rPr>
                <w:rFonts w:ascii="Times New Roman" w:hAnsi="Times New Roman"/>
                <w:sz w:val="21"/>
              </w:rPr>
              <w:t>Đơn giản: TrackingPortalUI chỉ giao tiếp trực tiếp với WaybillDB, dễ theo dõi và dễ triển khai.</w:t>
            </w:r>
          </w:p>
        </w:tc>
        <w:tc>
          <w:tcPr>
            <w:tcW w:type="dxa" w:w="3312"/>
            <w:vAlign w:val="center"/>
          </w:tcPr>
          <w:p>
            <w:r>
              <w:rPr>
                <w:rFonts w:ascii="Times New Roman" w:hAnsi="Times New Roman"/>
                <w:sz w:val="21"/>
              </w:rPr>
              <w:t>Cache Hit có luồng tương đối ngắn; đồng thời có thể giảm số lượng yêu cầu thực tế tới WaybillDB.</w:t>
            </w:r>
          </w:p>
        </w:tc>
      </w:tr>
      <w:tr>
        <w:tc>
          <w:tcPr>
            <w:tcW w:type="dxa" w:w="3312"/>
            <w:vAlign w:val="center"/>
          </w:tcPr>
          <w:p>
            <w:r>
              <w:rPr>
                <w:rFonts w:ascii="Times New Roman" w:hAnsi="Times New Roman"/>
                <w:b/>
                <w:sz w:val="21"/>
              </w:rPr>
              <w:t>Độ phức tạp luồng thông điệp – Nhược điểm</w:t>
            </w:r>
          </w:p>
        </w:tc>
        <w:tc>
          <w:tcPr>
            <w:tcW w:type="dxa" w:w="3312"/>
            <w:vAlign w:val="center"/>
          </w:tcPr>
          <w:p>
            <w:r>
              <w:rPr>
                <w:rFonts w:ascii="Times New Roman" w:hAnsi="Times New Roman"/>
                <w:sz w:val="21"/>
              </w:rPr>
              <w:t>Không có tầng cache nên toàn bộ yêu cầu đều phụ thuộc vào WaybillDB.</w:t>
            </w:r>
          </w:p>
        </w:tc>
        <w:tc>
          <w:tcPr>
            <w:tcW w:type="dxa" w:w="3312"/>
            <w:vAlign w:val="center"/>
          </w:tcPr>
          <w:p>
            <w:r>
              <w:rPr>
                <w:rFonts w:ascii="Times New Roman" w:hAnsi="Times New Roman"/>
                <w:sz w:val="21"/>
              </w:rPr>
              <w:t>Phức tạp hơn vì phải xử lý Cache Hit/Cache Miss và thêm quan hệ giao tiếp giữa CacheService với WaybillDB.</w:t>
            </w:r>
          </w:p>
        </w:tc>
      </w:tr>
    </w:tbl>
    <w:p>
      <w:r>
        <w:rPr>
          <w:b/>
          <w:sz w:val="26"/>
        </w:rPr>
        <w:t>5. Kết luận</w:t>
      </w:r>
    </w:p>
    <w:p>
      <w:r>
        <w:t>Trong bối cảnh hệ thống có rất nhiều khách hàng tra cứu cùng lúc vào giờ cao điểm, Phương án B phù hợp hơn vì CacheService có thể trả kết quả ngay khi dữ liệu đã có sẵn trong cache. Điều này giúp giảm số lần truy vấn trực tiếp tới WaybillDB và hạn chế tải cho CSDL. Tuy nhiên, phương án B có luồng phức tạp hơn và trường hợp Cache Miss sẽ phát sinh thêm bước trung gian. Vì vậy, việc lựa chọn phương án B phù hợp với yêu cầu ưu tiên tốc độ phản hồi và khả năng giảm tải CSDL trong giờ cao điểm.</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