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00000"/>
          <w:sz w:val="32"/>
        </w:rPr>
        <w:t>PHÂN LOẠI PRODUCT BACKLOG THEO MOSCOW</w:t>
      </w:r>
    </w:p>
    <w:p>
      <w:pPr>
        <w:jc w:val="center"/>
      </w:pPr>
      <w:r>
        <w:rPr>
          <w:i/>
          <w:sz w:val="20"/>
        </w:rPr>
        <w:t>Dự án: Hệ thống mượn sách trực tuyến – MVP Release 1</w:t>
      </w:r>
    </w:p>
    <w:p>
      <w:pPr>
        <w:pStyle w:val="Heading1"/>
      </w:pPr>
      <w:r>
        <w:t>1. Nguyên tắc phân loại</w:t>
      </w:r>
    </w:p>
    <w:p>
      <w:r>
        <w:t>Release 1 dự kiến triển khai trong 3 sprint (6 tuần), vì vậy ưu tiên luồng cốt lõi: quản lý kho sách, tài khoản độc giả, tìm kiếm và đặt mượn sách tại quầy. Nhóm Must có 4 hạng mục để giữ phạm vi MVP khả thi; các tính năng bổ sung được xếp Should, Could hoặc Won’t this time theo mức độ cần thiết và khả năng xử lý tạm thời.</w:t>
      </w:r>
    </w:p>
    <w:p>
      <w:pPr>
        <w:pStyle w:val="Heading1"/>
      </w:pPr>
      <w:r>
        <w:t>2. Product Backlog có thứ tự ưu tiên</w:t>
      </w:r>
    </w:p>
    <w:p>
      <w:r>
        <w:t>Thứ tự duy nhất từ 1 đến 12. Các mục Must đứng trước Should, tiếp theo là Could và Won’t; thứ tự trong từng nhóm xét theo phụ thuộc và giá trị MVP.</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691"/>
            <w:vAlign w:val="center"/>
            <w:shd w:fill="D9E2F3"/>
          </w:tcPr>
          <w:p>
            <w:r>
              <w:rPr>
                <w:b/>
                <w:color w:val="000000"/>
                <w:sz w:val="18"/>
              </w:rPr>
              <w:t>Ưu tiên</w:t>
            </w:r>
          </w:p>
        </w:tc>
        <w:tc>
          <w:tcPr>
            <w:tcW w:type="dxa" w:w="792"/>
            <w:vAlign w:val="center"/>
            <w:shd w:fill="D9E2F3"/>
          </w:tcPr>
          <w:p>
            <w:r>
              <w:rPr>
                <w:b/>
                <w:color w:val="000000"/>
                <w:sz w:val="18"/>
              </w:rPr>
              <w:t>Mã gốc</w:t>
            </w:r>
          </w:p>
        </w:tc>
        <w:tc>
          <w:tcPr>
            <w:tcW w:type="dxa" w:w="2592"/>
            <w:vAlign w:val="center"/>
            <w:shd w:fill="D9E2F3"/>
          </w:tcPr>
          <w:p>
            <w:r>
              <w:rPr>
                <w:b/>
                <w:color w:val="000000"/>
                <w:sz w:val="18"/>
              </w:rPr>
              <w:t>Hạng mục backlog</w:t>
            </w:r>
          </w:p>
        </w:tc>
        <w:tc>
          <w:tcPr>
            <w:tcW w:type="dxa" w:w="1656"/>
            <w:vAlign w:val="center"/>
            <w:shd w:fill="D9E2F3"/>
          </w:tcPr>
          <w:p>
            <w:r>
              <w:rPr>
                <w:b/>
                <w:color w:val="000000"/>
                <w:sz w:val="18"/>
              </w:rPr>
              <w:t>MoSCoW</w:t>
            </w:r>
          </w:p>
        </w:tc>
        <w:tc>
          <w:tcPr>
            <w:tcW w:type="dxa" w:w="4824"/>
            <w:vAlign w:val="center"/>
            <w:shd w:fill="D9E2F3"/>
          </w:tcPr>
          <w:p>
            <w:r>
              <w:rPr>
                <w:b/>
                <w:color w:val="000000"/>
                <w:sz w:val="18"/>
              </w:rPr>
              <w:t>Lý do / phụ thuộc</w:t>
            </w:r>
          </w:p>
        </w:tc>
      </w:tr>
      <w:tr>
        <w:tc>
          <w:tcPr>
            <w:tcW w:type="dxa" w:w="691"/>
            <w:vAlign w:val="top"/>
          </w:tcPr>
          <w:p>
            <w:pPr>
              <w:spacing w:after="40"/>
            </w:pPr>
            <w:r>
              <w:rPr>
                <w:rFonts w:ascii="Arial" w:hAnsi="Arial"/>
                <w:color w:val="000000"/>
                <w:sz w:val="17"/>
              </w:rPr>
              <w:t>1</w:t>
            </w:r>
          </w:p>
        </w:tc>
        <w:tc>
          <w:tcPr>
            <w:tcW w:type="dxa" w:w="792"/>
            <w:vAlign w:val="top"/>
          </w:tcPr>
          <w:p>
            <w:pPr>
              <w:spacing w:after="40"/>
            </w:pPr>
            <w:r>
              <w:rPr>
                <w:rFonts w:ascii="Arial" w:hAnsi="Arial"/>
                <w:color w:val="000000"/>
                <w:sz w:val="17"/>
              </w:rPr>
              <w:t>10</w:t>
            </w:r>
          </w:p>
        </w:tc>
        <w:tc>
          <w:tcPr>
            <w:tcW w:type="dxa" w:w="2592"/>
            <w:vAlign w:val="top"/>
          </w:tcPr>
          <w:p>
            <w:pPr>
              <w:spacing w:after="40"/>
            </w:pPr>
            <w:r>
              <w:rPr>
                <w:rFonts w:ascii="Arial" w:hAnsi="Arial"/>
                <w:color w:val="000000"/>
                <w:sz w:val="17"/>
              </w:rPr>
              <w:t>Thủ thư quản lý kho sách (thêm/sửa/xóa sách)</w:t>
            </w:r>
          </w:p>
        </w:tc>
        <w:tc>
          <w:tcPr>
            <w:tcW w:type="dxa" w:w="1656"/>
            <w:vAlign w:val="top"/>
          </w:tcPr>
          <w:p>
            <w:pPr>
              <w:spacing w:after="40"/>
            </w:pPr>
            <w:r>
              <w:rPr>
                <w:rFonts w:ascii="Arial" w:hAnsi="Arial"/>
                <w:color w:val="000000"/>
                <w:sz w:val="17"/>
              </w:rPr>
              <w:t>Must have</w:t>
            </w:r>
          </w:p>
        </w:tc>
        <w:tc>
          <w:tcPr>
            <w:tcW w:type="dxa" w:w="4824"/>
            <w:vAlign w:val="top"/>
          </w:tcPr>
          <w:p>
            <w:pPr>
              <w:spacing w:after="40"/>
            </w:pPr>
            <w:r>
              <w:rPr>
                <w:rFonts w:ascii="Arial" w:hAnsi="Arial"/>
                <w:color w:val="000000"/>
                <w:sz w:val="17"/>
              </w:rPr>
              <w:t>Không có dữ liệu sách được quản lý/cập nhật thì độc giả khó tra cứu và thư viện không thể vận hành quy trình mượn; đây là nền tảng cho tìm kiếm và mượn sách.</w:t>
            </w:r>
          </w:p>
        </w:tc>
      </w:tr>
      <w:tr>
        <w:tc>
          <w:tcPr>
            <w:tcW w:type="dxa" w:w="691"/>
            <w:vAlign w:val="top"/>
          </w:tcPr>
          <w:p>
            <w:pPr>
              <w:spacing w:after="40"/>
            </w:pPr>
            <w:r>
              <w:rPr>
                <w:rFonts w:ascii="Arial" w:hAnsi="Arial"/>
                <w:color w:val="000000"/>
                <w:sz w:val="17"/>
              </w:rPr>
              <w:t>2</w:t>
            </w:r>
          </w:p>
        </w:tc>
        <w:tc>
          <w:tcPr>
            <w:tcW w:type="dxa" w:w="792"/>
            <w:vAlign w:val="top"/>
          </w:tcPr>
          <w:p>
            <w:pPr>
              <w:spacing w:after="40"/>
            </w:pPr>
            <w:r>
              <w:rPr>
                <w:rFonts w:ascii="Arial" w:hAnsi="Arial"/>
                <w:color w:val="000000"/>
                <w:sz w:val="17"/>
              </w:rPr>
              <w:t>1</w:t>
            </w:r>
          </w:p>
        </w:tc>
        <w:tc>
          <w:tcPr>
            <w:tcW w:type="dxa" w:w="2592"/>
            <w:vAlign w:val="top"/>
          </w:tcPr>
          <w:p>
            <w:pPr>
              <w:spacing w:after="40"/>
            </w:pPr>
            <w:r>
              <w:rPr>
                <w:rFonts w:ascii="Arial" w:hAnsi="Arial"/>
                <w:color w:val="000000"/>
                <w:sz w:val="17"/>
              </w:rPr>
              <w:t>Đăng nhập/đăng ký tài khoản độc giả</w:t>
            </w:r>
          </w:p>
        </w:tc>
        <w:tc>
          <w:tcPr>
            <w:tcW w:type="dxa" w:w="1656"/>
            <w:vAlign w:val="top"/>
          </w:tcPr>
          <w:p>
            <w:pPr>
              <w:spacing w:after="40"/>
            </w:pPr>
            <w:r>
              <w:rPr>
                <w:rFonts w:ascii="Arial" w:hAnsi="Arial"/>
                <w:color w:val="000000"/>
                <w:sz w:val="17"/>
              </w:rPr>
              <w:t>Must have</w:t>
            </w:r>
          </w:p>
        </w:tc>
        <w:tc>
          <w:tcPr>
            <w:tcW w:type="dxa" w:w="4824"/>
            <w:vAlign w:val="top"/>
          </w:tcPr>
          <w:p>
            <w:pPr>
              <w:spacing w:after="40"/>
            </w:pPr>
            <w:r>
              <w:rPr>
                <w:rFonts w:ascii="Arial" w:hAnsi="Arial"/>
                <w:color w:val="000000"/>
                <w:sz w:val="17"/>
              </w:rPr>
              <w:t>Cần xác định độc giả để gắn yêu cầu mượn với đúng người và áp dụng giới hạn mượn; có thể chưa cần đăng nhập mạng xã hội.</w:t>
            </w:r>
          </w:p>
        </w:tc>
      </w:tr>
      <w:tr>
        <w:tc>
          <w:tcPr>
            <w:tcW w:type="dxa" w:w="691"/>
            <w:vAlign w:val="top"/>
          </w:tcPr>
          <w:p>
            <w:pPr>
              <w:spacing w:after="40"/>
            </w:pPr>
            <w:r>
              <w:rPr>
                <w:rFonts w:ascii="Arial" w:hAnsi="Arial"/>
                <w:color w:val="000000"/>
                <w:sz w:val="17"/>
              </w:rPr>
              <w:t>3</w:t>
            </w:r>
          </w:p>
        </w:tc>
        <w:tc>
          <w:tcPr>
            <w:tcW w:type="dxa" w:w="792"/>
            <w:vAlign w:val="top"/>
          </w:tcPr>
          <w:p>
            <w:pPr>
              <w:spacing w:after="40"/>
            </w:pPr>
            <w:r>
              <w:rPr>
                <w:rFonts w:ascii="Arial" w:hAnsi="Arial"/>
                <w:color w:val="000000"/>
                <w:sz w:val="17"/>
              </w:rPr>
              <w:t>2</w:t>
            </w:r>
          </w:p>
        </w:tc>
        <w:tc>
          <w:tcPr>
            <w:tcW w:type="dxa" w:w="2592"/>
            <w:vAlign w:val="top"/>
          </w:tcPr>
          <w:p>
            <w:pPr>
              <w:spacing w:after="40"/>
            </w:pPr>
            <w:r>
              <w:rPr>
                <w:rFonts w:ascii="Arial" w:hAnsi="Arial"/>
                <w:color w:val="000000"/>
                <w:sz w:val="17"/>
              </w:rPr>
              <w:t>Tìm kiếm sách theo tên/tác giả</w:t>
            </w:r>
          </w:p>
        </w:tc>
        <w:tc>
          <w:tcPr>
            <w:tcW w:type="dxa" w:w="1656"/>
            <w:vAlign w:val="top"/>
          </w:tcPr>
          <w:p>
            <w:pPr>
              <w:spacing w:after="40"/>
            </w:pPr>
            <w:r>
              <w:rPr>
                <w:rFonts w:ascii="Arial" w:hAnsi="Arial"/>
                <w:color w:val="000000"/>
                <w:sz w:val="17"/>
              </w:rPr>
              <w:t>Must have</w:t>
            </w:r>
          </w:p>
        </w:tc>
        <w:tc>
          <w:tcPr>
            <w:tcW w:type="dxa" w:w="4824"/>
            <w:vAlign w:val="top"/>
          </w:tcPr>
          <w:p>
            <w:pPr>
              <w:spacing w:after="40"/>
            </w:pPr>
            <w:r>
              <w:rPr>
                <w:rFonts w:ascii="Arial" w:hAnsi="Arial"/>
                <w:color w:val="000000"/>
                <w:sz w:val="17"/>
              </w:rPr>
              <w:t>Đây là cách chính để độc giả tìm sách cần mượn trong MVP; thiếu tính năng này sẽ làm quy trình mượn online khó sử dụng đáng kể.</w:t>
            </w:r>
          </w:p>
        </w:tc>
      </w:tr>
      <w:tr>
        <w:tc>
          <w:tcPr>
            <w:tcW w:type="dxa" w:w="691"/>
            <w:vAlign w:val="top"/>
          </w:tcPr>
          <w:p>
            <w:pPr>
              <w:spacing w:after="40"/>
            </w:pPr>
            <w:r>
              <w:rPr>
                <w:rFonts w:ascii="Arial" w:hAnsi="Arial"/>
                <w:color w:val="000000"/>
                <w:sz w:val="17"/>
              </w:rPr>
              <w:t>4</w:t>
            </w:r>
          </w:p>
        </w:tc>
        <w:tc>
          <w:tcPr>
            <w:tcW w:type="dxa" w:w="792"/>
            <w:vAlign w:val="top"/>
          </w:tcPr>
          <w:p>
            <w:pPr>
              <w:spacing w:after="40"/>
            </w:pPr>
            <w:r>
              <w:rPr>
                <w:rFonts w:ascii="Arial" w:hAnsi="Arial"/>
                <w:color w:val="000000"/>
                <w:sz w:val="17"/>
              </w:rPr>
              <w:t>3</w:t>
            </w:r>
          </w:p>
        </w:tc>
        <w:tc>
          <w:tcPr>
            <w:tcW w:type="dxa" w:w="2592"/>
            <w:vAlign w:val="top"/>
          </w:tcPr>
          <w:p>
            <w:pPr>
              <w:spacing w:after="40"/>
            </w:pPr>
            <w:r>
              <w:rPr>
                <w:rFonts w:ascii="Arial" w:hAnsi="Arial"/>
                <w:color w:val="000000"/>
                <w:sz w:val="17"/>
              </w:rPr>
              <w:t>Mượn sách online (có giới hạn số sách mượn cùng lúc)</w:t>
            </w:r>
          </w:p>
        </w:tc>
        <w:tc>
          <w:tcPr>
            <w:tcW w:type="dxa" w:w="1656"/>
            <w:vAlign w:val="top"/>
          </w:tcPr>
          <w:p>
            <w:pPr>
              <w:spacing w:after="40"/>
            </w:pPr>
            <w:r>
              <w:rPr>
                <w:rFonts w:ascii="Arial" w:hAnsi="Arial"/>
                <w:color w:val="000000"/>
                <w:sz w:val="17"/>
              </w:rPr>
              <w:t>Must have</w:t>
            </w:r>
          </w:p>
        </w:tc>
        <w:tc>
          <w:tcPr>
            <w:tcW w:type="dxa" w:w="4824"/>
            <w:vAlign w:val="top"/>
          </w:tcPr>
          <w:p>
            <w:pPr>
              <w:spacing w:after="40"/>
            </w:pPr>
            <w:r>
              <w:rPr>
                <w:rFonts w:ascii="Arial" w:hAnsi="Arial"/>
                <w:color w:val="000000"/>
                <w:sz w:val="17"/>
              </w:rPr>
              <w:t>Đây là chức năng cốt lõi của sản phẩm; phụ thuộc vào tài khoản độc giả và dữ liệu kho sách, nên các mục đó phải được làm trước.</w:t>
            </w:r>
          </w:p>
        </w:tc>
      </w:tr>
      <w:tr>
        <w:tc>
          <w:tcPr>
            <w:tcW w:type="dxa" w:w="691"/>
            <w:vAlign w:val="top"/>
          </w:tcPr>
          <w:p>
            <w:pPr>
              <w:spacing w:after="40"/>
            </w:pPr>
            <w:r>
              <w:rPr>
                <w:rFonts w:ascii="Arial" w:hAnsi="Arial"/>
                <w:color w:val="000000"/>
                <w:sz w:val="17"/>
              </w:rPr>
              <w:t>5</w:t>
            </w:r>
          </w:p>
        </w:tc>
        <w:tc>
          <w:tcPr>
            <w:tcW w:type="dxa" w:w="792"/>
            <w:vAlign w:val="top"/>
          </w:tcPr>
          <w:p>
            <w:pPr>
              <w:spacing w:after="40"/>
            </w:pPr>
            <w:r>
              <w:rPr>
                <w:rFonts w:ascii="Arial" w:hAnsi="Arial"/>
                <w:color w:val="000000"/>
                <w:sz w:val="17"/>
              </w:rPr>
              <w:t>9</w:t>
            </w:r>
          </w:p>
        </w:tc>
        <w:tc>
          <w:tcPr>
            <w:tcW w:type="dxa" w:w="2592"/>
            <w:vAlign w:val="top"/>
          </w:tcPr>
          <w:p>
            <w:pPr>
              <w:spacing w:after="40"/>
            </w:pPr>
            <w:r>
              <w:rPr>
                <w:rFonts w:ascii="Arial" w:hAnsi="Arial"/>
                <w:color w:val="000000"/>
                <w:sz w:val="17"/>
              </w:rPr>
              <w:t>Xem lịch sử mượn sách của bản thân</w:t>
            </w:r>
          </w:p>
        </w:tc>
        <w:tc>
          <w:tcPr>
            <w:tcW w:type="dxa" w:w="1656"/>
            <w:vAlign w:val="top"/>
          </w:tcPr>
          <w:p>
            <w:pPr>
              <w:spacing w:after="40"/>
            </w:pPr>
            <w:r>
              <w:rPr>
                <w:rFonts w:ascii="Arial" w:hAnsi="Arial"/>
                <w:color w:val="000000"/>
                <w:sz w:val="17"/>
              </w:rPr>
              <w:t>Should have</w:t>
            </w:r>
          </w:p>
        </w:tc>
        <w:tc>
          <w:tcPr>
            <w:tcW w:type="dxa" w:w="4824"/>
            <w:vAlign w:val="top"/>
          </w:tcPr>
          <w:p>
            <w:pPr>
              <w:spacing w:after="40"/>
            </w:pPr>
            <w:r>
              <w:rPr>
                <w:rFonts w:ascii="Arial" w:hAnsi="Arial"/>
                <w:color w:val="000000"/>
                <w:sz w:val="17"/>
              </w:rPr>
              <w:t>Rất hữu ích để độc giả kiểm tra các lượt mượn, nhưng giai đoạn đầu có thể hỏi thủ thư hoặc tra cứu qua quy trình hỗ trợ tạm thời; phụ thuộc dữ liệu mượn.</w:t>
            </w:r>
          </w:p>
        </w:tc>
      </w:tr>
      <w:tr>
        <w:tc>
          <w:tcPr>
            <w:tcW w:type="dxa" w:w="691"/>
            <w:vAlign w:val="top"/>
          </w:tcPr>
          <w:p>
            <w:pPr>
              <w:spacing w:after="40"/>
            </w:pPr>
            <w:r>
              <w:rPr>
                <w:rFonts w:ascii="Arial" w:hAnsi="Arial"/>
                <w:color w:val="000000"/>
                <w:sz w:val="17"/>
              </w:rPr>
              <w:t>6</w:t>
            </w:r>
          </w:p>
        </w:tc>
        <w:tc>
          <w:tcPr>
            <w:tcW w:type="dxa" w:w="792"/>
            <w:vAlign w:val="top"/>
          </w:tcPr>
          <w:p>
            <w:pPr>
              <w:spacing w:after="40"/>
            </w:pPr>
            <w:r>
              <w:rPr>
                <w:rFonts w:ascii="Arial" w:hAnsi="Arial"/>
                <w:color w:val="000000"/>
                <w:sz w:val="17"/>
              </w:rPr>
              <w:t>8</w:t>
            </w:r>
          </w:p>
        </w:tc>
        <w:tc>
          <w:tcPr>
            <w:tcW w:type="dxa" w:w="2592"/>
            <w:vAlign w:val="top"/>
          </w:tcPr>
          <w:p>
            <w:pPr>
              <w:spacing w:after="40"/>
            </w:pPr>
            <w:r>
              <w:rPr>
                <w:rFonts w:ascii="Arial" w:hAnsi="Arial"/>
                <w:color w:val="000000"/>
                <w:sz w:val="17"/>
              </w:rPr>
              <w:t>Thông báo email khi sắp đến hạn trả sách</w:t>
            </w:r>
          </w:p>
        </w:tc>
        <w:tc>
          <w:tcPr>
            <w:tcW w:type="dxa" w:w="1656"/>
            <w:vAlign w:val="top"/>
          </w:tcPr>
          <w:p>
            <w:pPr>
              <w:spacing w:after="40"/>
            </w:pPr>
            <w:r>
              <w:rPr>
                <w:rFonts w:ascii="Arial" w:hAnsi="Arial"/>
                <w:color w:val="000000"/>
                <w:sz w:val="17"/>
              </w:rPr>
              <w:t>Should have</w:t>
            </w:r>
          </w:p>
        </w:tc>
        <w:tc>
          <w:tcPr>
            <w:tcW w:type="dxa" w:w="4824"/>
            <w:vAlign w:val="top"/>
          </w:tcPr>
          <w:p>
            <w:pPr>
              <w:spacing w:after="40"/>
            </w:pPr>
            <w:r>
              <w:rPr>
                <w:rFonts w:ascii="Arial" w:hAnsi="Arial"/>
                <w:color w:val="000000"/>
                <w:sz w:val="17"/>
              </w:rPr>
              <w:t>Giúp giảm trả sách trễ nhưng có thể tạm dùng thông tin hạn trả hiển thị hoặc nhắc tại quầy; phụ thuộc dữ liệu khoản mượn và thông tin liên hệ.</w:t>
            </w:r>
          </w:p>
        </w:tc>
      </w:tr>
      <w:tr>
        <w:tc>
          <w:tcPr>
            <w:tcW w:type="dxa" w:w="691"/>
            <w:vAlign w:val="top"/>
          </w:tcPr>
          <w:p>
            <w:pPr>
              <w:spacing w:after="40"/>
            </w:pPr>
            <w:r>
              <w:rPr>
                <w:rFonts w:ascii="Arial" w:hAnsi="Arial"/>
                <w:color w:val="000000"/>
                <w:sz w:val="17"/>
              </w:rPr>
              <w:t>7</w:t>
            </w:r>
          </w:p>
        </w:tc>
        <w:tc>
          <w:tcPr>
            <w:tcW w:type="dxa" w:w="792"/>
            <w:vAlign w:val="top"/>
          </w:tcPr>
          <w:p>
            <w:pPr>
              <w:spacing w:after="40"/>
            </w:pPr>
            <w:r>
              <w:rPr>
                <w:rFonts w:ascii="Arial" w:hAnsi="Arial"/>
                <w:color w:val="000000"/>
                <w:sz w:val="17"/>
              </w:rPr>
              <w:t>4</w:t>
            </w:r>
          </w:p>
        </w:tc>
        <w:tc>
          <w:tcPr>
            <w:tcW w:type="dxa" w:w="2592"/>
            <w:vAlign w:val="top"/>
          </w:tcPr>
          <w:p>
            <w:pPr>
              <w:spacing w:after="40"/>
            </w:pPr>
            <w:r>
              <w:rPr>
                <w:rFonts w:ascii="Arial" w:hAnsi="Arial"/>
                <w:color w:val="000000"/>
                <w:sz w:val="17"/>
              </w:rPr>
              <w:t>Gia hạn mượn sách online</w:t>
            </w:r>
          </w:p>
        </w:tc>
        <w:tc>
          <w:tcPr>
            <w:tcW w:type="dxa" w:w="1656"/>
            <w:vAlign w:val="top"/>
          </w:tcPr>
          <w:p>
            <w:pPr>
              <w:spacing w:after="40"/>
            </w:pPr>
            <w:r>
              <w:rPr>
                <w:rFonts w:ascii="Arial" w:hAnsi="Arial"/>
                <w:color w:val="000000"/>
                <w:sz w:val="17"/>
              </w:rPr>
              <w:t>Should have</w:t>
            </w:r>
          </w:p>
        </w:tc>
        <w:tc>
          <w:tcPr>
            <w:tcW w:type="dxa" w:w="4824"/>
            <w:vAlign w:val="top"/>
          </w:tcPr>
          <w:p>
            <w:pPr>
              <w:spacing w:after="40"/>
            </w:pPr>
            <w:r>
              <w:rPr>
                <w:rFonts w:ascii="Arial" w:hAnsi="Arial"/>
                <w:color w:val="000000"/>
                <w:sz w:val="17"/>
              </w:rPr>
              <w:t>Mang lại tiện lợi nhưng độc giả có thể liên hệ thủ thư để xin gia hạn trong thời gian đầu; phụ thuộc vào khoản mượn đang tồn tại và quy tắc gia hạn.</w:t>
            </w:r>
          </w:p>
        </w:tc>
      </w:tr>
      <w:tr>
        <w:tc>
          <w:tcPr>
            <w:tcW w:type="dxa" w:w="691"/>
            <w:vAlign w:val="top"/>
          </w:tcPr>
          <w:p>
            <w:pPr>
              <w:spacing w:after="40"/>
            </w:pPr>
            <w:r>
              <w:rPr>
                <w:rFonts w:ascii="Arial" w:hAnsi="Arial"/>
                <w:color w:val="000000"/>
                <w:sz w:val="17"/>
              </w:rPr>
              <w:t>8</w:t>
            </w:r>
          </w:p>
        </w:tc>
        <w:tc>
          <w:tcPr>
            <w:tcW w:type="dxa" w:w="792"/>
            <w:vAlign w:val="top"/>
          </w:tcPr>
          <w:p>
            <w:pPr>
              <w:spacing w:after="40"/>
            </w:pPr>
            <w:r>
              <w:rPr>
                <w:rFonts w:ascii="Arial" w:hAnsi="Arial"/>
                <w:color w:val="000000"/>
                <w:sz w:val="17"/>
              </w:rPr>
              <w:t>5</w:t>
            </w:r>
          </w:p>
        </w:tc>
        <w:tc>
          <w:tcPr>
            <w:tcW w:type="dxa" w:w="2592"/>
            <w:vAlign w:val="top"/>
          </w:tcPr>
          <w:p>
            <w:pPr>
              <w:spacing w:after="40"/>
            </w:pPr>
            <w:r>
              <w:rPr>
                <w:rFonts w:ascii="Arial" w:hAnsi="Arial"/>
                <w:color w:val="000000"/>
                <w:sz w:val="17"/>
              </w:rPr>
              <w:t>Đặt trước sách khi hết (kèm thông báo khi sách có sẵn)</w:t>
            </w:r>
          </w:p>
        </w:tc>
        <w:tc>
          <w:tcPr>
            <w:tcW w:type="dxa" w:w="1656"/>
            <w:vAlign w:val="top"/>
          </w:tcPr>
          <w:p>
            <w:pPr>
              <w:spacing w:after="40"/>
            </w:pPr>
            <w:r>
              <w:rPr>
                <w:rFonts w:ascii="Arial" w:hAnsi="Arial"/>
                <w:color w:val="000000"/>
                <w:sz w:val="17"/>
              </w:rPr>
              <w:t>Could have</w:t>
            </w:r>
          </w:p>
        </w:tc>
        <w:tc>
          <w:tcPr>
            <w:tcW w:type="dxa" w:w="4824"/>
            <w:vAlign w:val="top"/>
          </w:tcPr>
          <w:p>
            <w:pPr>
              <w:spacing w:after="40"/>
            </w:pPr>
            <w:r>
              <w:rPr>
                <w:rFonts w:ascii="Arial" w:hAnsi="Arial"/>
                <w:color w:val="000000"/>
                <w:sz w:val="17"/>
              </w:rPr>
              <w:t>Có thể xử lý tạm bằng cách độc giả liên hệ thủ thư để ghi nhận nhu cầu; cần có tài khoản, dữ liệu kho và quy trình mượn để quản lý hàng chờ.</w:t>
            </w:r>
          </w:p>
        </w:tc>
      </w:tr>
      <w:tr>
        <w:tc>
          <w:tcPr>
            <w:tcW w:type="dxa" w:w="691"/>
            <w:vAlign w:val="top"/>
          </w:tcPr>
          <w:p>
            <w:pPr>
              <w:spacing w:after="40"/>
            </w:pPr>
            <w:r>
              <w:rPr>
                <w:rFonts w:ascii="Arial" w:hAnsi="Arial"/>
                <w:color w:val="000000"/>
                <w:sz w:val="17"/>
              </w:rPr>
              <w:t>9</w:t>
            </w:r>
          </w:p>
        </w:tc>
        <w:tc>
          <w:tcPr>
            <w:tcW w:type="dxa" w:w="792"/>
            <w:vAlign w:val="top"/>
          </w:tcPr>
          <w:p>
            <w:pPr>
              <w:spacing w:after="40"/>
            </w:pPr>
            <w:r>
              <w:rPr>
                <w:rFonts w:ascii="Arial" w:hAnsi="Arial"/>
                <w:color w:val="000000"/>
                <w:sz w:val="17"/>
              </w:rPr>
              <w:t>6</w:t>
            </w:r>
          </w:p>
        </w:tc>
        <w:tc>
          <w:tcPr>
            <w:tcW w:type="dxa" w:w="2592"/>
            <w:vAlign w:val="top"/>
          </w:tcPr>
          <w:p>
            <w:pPr>
              <w:spacing w:after="40"/>
            </w:pPr>
            <w:r>
              <w:rPr>
                <w:rFonts w:ascii="Arial" w:hAnsi="Arial"/>
                <w:color w:val="000000"/>
                <w:sz w:val="17"/>
              </w:rPr>
              <w:t>Đánh giá &amp; bình luận sách sau khi đọc</w:t>
            </w:r>
          </w:p>
        </w:tc>
        <w:tc>
          <w:tcPr>
            <w:tcW w:type="dxa" w:w="1656"/>
            <w:vAlign w:val="top"/>
          </w:tcPr>
          <w:p>
            <w:pPr>
              <w:spacing w:after="40"/>
            </w:pPr>
            <w:r>
              <w:rPr>
                <w:rFonts w:ascii="Arial" w:hAnsi="Arial"/>
                <w:color w:val="000000"/>
                <w:sz w:val="17"/>
              </w:rPr>
              <w:t>Could have</w:t>
            </w:r>
          </w:p>
        </w:tc>
        <w:tc>
          <w:tcPr>
            <w:tcW w:type="dxa" w:w="4824"/>
            <w:vAlign w:val="top"/>
          </w:tcPr>
          <w:p>
            <w:pPr>
              <w:spacing w:after="40"/>
            </w:pPr>
            <w:r>
              <w:rPr>
                <w:rFonts w:ascii="Arial" w:hAnsi="Arial"/>
                <w:color w:val="000000"/>
                <w:sz w:val="17"/>
              </w:rPr>
              <w:t>Nếu bỏ qua, chức năng mượn sách vẫn hoạt động và người dùng có thể chia sẻ nhận xét bên ngoài hệ thống; phụ thuộc vào việc xác định độc giả/sách.</w:t>
            </w:r>
          </w:p>
        </w:tc>
      </w:tr>
      <w:tr>
        <w:tc>
          <w:tcPr>
            <w:tcW w:type="dxa" w:w="691"/>
            <w:vAlign w:val="top"/>
          </w:tcPr>
          <w:p>
            <w:pPr>
              <w:spacing w:after="40"/>
            </w:pPr>
            <w:r>
              <w:rPr>
                <w:rFonts w:ascii="Arial" w:hAnsi="Arial"/>
                <w:color w:val="000000"/>
                <w:sz w:val="17"/>
              </w:rPr>
              <w:t>10</w:t>
            </w:r>
          </w:p>
        </w:tc>
        <w:tc>
          <w:tcPr>
            <w:tcW w:type="dxa" w:w="792"/>
            <w:vAlign w:val="top"/>
          </w:tcPr>
          <w:p>
            <w:pPr>
              <w:spacing w:after="40"/>
            </w:pPr>
            <w:r>
              <w:rPr>
                <w:rFonts w:ascii="Arial" w:hAnsi="Arial"/>
                <w:color w:val="000000"/>
                <w:sz w:val="17"/>
              </w:rPr>
              <w:t>11</w:t>
            </w:r>
          </w:p>
        </w:tc>
        <w:tc>
          <w:tcPr>
            <w:tcW w:type="dxa" w:w="2592"/>
            <w:vAlign w:val="top"/>
          </w:tcPr>
          <w:p>
            <w:pPr>
              <w:spacing w:after="40"/>
            </w:pPr>
            <w:r>
              <w:rPr>
                <w:rFonts w:ascii="Arial" w:hAnsi="Arial"/>
                <w:color w:val="000000"/>
                <w:sz w:val="17"/>
              </w:rPr>
              <w:t>Chat trực tiếp với thủ thư</w:t>
            </w:r>
          </w:p>
        </w:tc>
        <w:tc>
          <w:tcPr>
            <w:tcW w:type="dxa" w:w="1656"/>
            <w:vAlign w:val="top"/>
          </w:tcPr>
          <w:p>
            <w:pPr>
              <w:spacing w:after="40"/>
            </w:pPr>
            <w:r>
              <w:rPr>
                <w:rFonts w:ascii="Arial" w:hAnsi="Arial"/>
                <w:color w:val="000000"/>
                <w:sz w:val="17"/>
              </w:rPr>
              <w:t>Could have</w:t>
            </w:r>
          </w:p>
        </w:tc>
        <w:tc>
          <w:tcPr>
            <w:tcW w:type="dxa" w:w="4824"/>
            <w:vAlign w:val="top"/>
          </w:tcPr>
          <w:p>
            <w:pPr>
              <w:spacing w:after="40"/>
            </w:pPr>
            <w:r>
              <w:rPr>
                <w:rFonts w:ascii="Arial" w:hAnsi="Arial"/>
                <w:color w:val="000000"/>
                <w:sz w:val="17"/>
              </w:rPr>
              <w:t>Nếu chưa có chat, độc giả vẫn có thể gọi điện hoặc đến quầy để hỏi; tính năng này cải thiện hỗ trợ nhưng không phải luồng mượn cốt lõi.</w:t>
            </w:r>
          </w:p>
        </w:tc>
      </w:tr>
      <w:tr>
        <w:tc>
          <w:tcPr>
            <w:tcW w:type="dxa" w:w="691"/>
            <w:vAlign w:val="top"/>
          </w:tcPr>
          <w:p>
            <w:pPr>
              <w:spacing w:after="40"/>
            </w:pPr>
            <w:r>
              <w:rPr>
                <w:rFonts w:ascii="Arial" w:hAnsi="Arial"/>
                <w:color w:val="000000"/>
                <w:sz w:val="17"/>
              </w:rPr>
              <w:t>11</w:t>
            </w:r>
          </w:p>
        </w:tc>
        <w:tc>
          <w:tcPr>
            <w:tcW w:type="dxa" w:w="792"/>
            <w:vAlign w:val="top"/>
          </w:tcPr>
          <w:p>
            <w:pPr>
              <w:spacing w:after="40"/>
            </w:pPr>
            <w:r>
              <w:rPr>
                <w:rFonts w:ascii="Arial" w:hAnsi="Arial"/>
                <w:color w:val="000000"/>
                <w:sz w:val="17"/>
              </w:rPr>
              <w:t>7</w:t>
            </w:r>
          </w:p>
        </w:tc>
        <w:tc>
          <w:tcPr>
            <w:tcW w:type="dxa" w:w="2592"/>
            <w:vAlign w:val="top"/>
          </w:tcPr>
          <w:p>
            <w:pPr>
              <w:spacing w:after="40"/>
            </w:pPr>
            <w:r>
              <w:rPr>
                <w:rFonts w:ascii="Arial" w:hAnsi="Arial"/>
                <w:color w:val="000000"/>
                <w:sz w:val="17"/>
              </w:rPr>
              <w:t>Gợi ý sách theo sở thích cá nhân (recommendation)</w:t>
            </w:r>
          </w:p>
        </w:tc>
        <w:tc>
          <w:tcPr>
            <w:tcW w:type="dxa" w:w="1656"/>
            <w:vAlign w:val="top"/>
          </w:tcPr>
          <w:p>
            <w:pPr>
              <w:spacing w:after="40"/>
            </w:pPr>
            <w:r>
              <w:rPr>
                <w:rFonts w:ascii="Arial" w:hAnsi="Arial"/>
                <w:color w:val="000000"/>
                <w:sz w:val="17"/>
              </w:rPr>
              <w:t>Won’t have (this time)</w:t>
            </w:r>
          </w:p>
        </w:tc>
        <w:tc>
          <w:tcPr>
            <w:tcW w:type="dxa" w:w="4824"/>
            <w:vAlign w:val="top"/>
          </w:tcPr>
          <w:p>
            <w:pPr>
              <w:spacing w:after="40"/>
            </w:pPr>
            <w:r>
              <w:rPr>
                <w:rFonts w:ascii="Arial" w:hAnsi="Arial"/>
                <w:color w:val="000000"/>
                <w:sz w:val="17"/>
              </w:rPr>
              <w:t>Thống nhất chưa làm trong Release 1 vì cần dữ liệu và logic gợi ý bổ sung; có thể giới thiệu sách thủ công, rồi đánh giá lại ở bản phát hành sau.</w:t>
            </w:r>
          </w:p>
        </w:tc>
      </w:tr>
      <w:tr>
        <w:tc>
          <w:tcPr>
            <w:tcW w:type="dxa" w:w="691"/>
            <w:vAlign w:val="top"/>
          </w:tcPr>
          <w:p>
            <w:pPr>
              <w:spacing w:after="40"/>
            </w:pPr>
            <w:r>
              <w:rPr>
                <w:rFonts w:ascii="Arial" w:hAnsi="Arial"/>
                <w:color w:val="000000"/>
                <w:sz w:val="17"/>
              </w:rPr>
              <w:t>12</w:t>
            </w:r>
          </w:p>
        </w:tc>
        <w:tc>
          <w:tcPr>
            <w:tcW w:type="dxa" w:w="792"/>
            <w:vAlign w:val="top"/>
          </w:tcPr>
          <w:p>
            <w:pPr>
              <w:spacing w:after="40"/>
            </w:pPr>
            <w:r>
              <w:rPr>
                <w:rFonts w:ascii="Arial" w:hAnsi="Arial"/>
                <w:color w:val="000000"/>
                <w:sz w:val="17"/>
              </w:rPr>
              <w:t>12</w:t>
            </w:r>
          </w:p>
        </w:tc>
        <w:tc>
          <w:tcPr>
            <w:tcW w:type="dxa" w:w="2592"/>
            <w:vAlign w:val="top"/>
          </w:tcPr>
          <w:p>
            <w:pPr>
              <w:spacing w:after="40"/>
            </w:pPr>
            <w:r>
              <w:rPr>
                <w:rFonts w:ascii="Arial" w:hAnsi="Arial"/>
                <w:color w:val="000000"/>
                <w:sz w:val="17"/>
              </w:rPr>
              <w:t>Tích hợp đăng nhập bằng Google/Facebook</w:t>
            </w:r>
          </w:p>
        </w:tc>
        <w:tc>
          <w:tcPr>
            <w:tcW w:type="dxa" w:w="1656"/>
            <w:vAlign w:val="top"/>
          </w:tcPr>
          <w:p>
            <w:pPr>
              <w:spacing w:after="40"/>
            </w:pPr>
            <w:r>
              <w:rPr>
                <w:rFonts w:ascii="Arial" w:hAnsi="Arial"/>
                <w:color w:val="000000"/>
                <w:sz w:val="17"/>
              </w:rPr>
              <w:t>Won’t have (this time)</w:t>
            </w:r>
          </w:p>
        </w:tc>
        <w:tc>
          <w:tcPr>
            <w:tcW w:type="dxa" w:w="4824"/>
            <w:vAlign w:val="top"/>
          </w:tcPr>
          <w:p>
            <w:pPr>
              <w:spacing w:after="40"/>
            </w:pPr>
            <w:r>
              <w:rPr>
                <w:rFonts w:ascii="Arial" w:hAnsi="Arial"/>
                <w:color w:val="000000"/>
                <w:sz w:val="17"/>
              </w:rPr>
              <w:t>Chưa làm để giảm phạm vi tích hợp và kiểm thử; độc giả vẫn có thể đăng ký/đăng nhập bằng tài khoản nội bộ ở mục 2.</w:t>
            </w:r>
          </w:p>
        </w:tc>
      </w:tr>
    </w:tbl>
    <w:p>
      <w:pPr>
        <w:pStyle w:val="Heading1"/>
      </w:pPr>
      <w:r>
        <w:t>3. Tự phản biện</w:t>
      </w:r>
    </w:p>
    <w:p>
      <w:r>
        <w:t>Một người khác có thể xếp mục 7 (gợi ý sách) vào Could thay vì Won’t, vì tính năng này tăng tương tác và có thể làm phiên bản đơn giản dựa trên thể loại yêu thích; tôi vẫn để Won’t để tập trung hoàn thiện luồng mượn trong 6 tuần đầu.</w:t>
      </w:r>
    </w:p>
    <w:p>
      <w:r>
        <w:t>Mục 11 (chat với thủ thư) cũng có thể được xếp Should nếu thư viện cần hỗ trợ trực tuyến thường xuyên; tuy nhiên, điện thoại hoặc hỗ trợ tại quầy là phương án thay thế nên tôi xếp Could.</w:t>
      </w:r>
    </w:p>
    <w:p>
      <w:r>
        <w:t>Mục 12 (đăng nhập Google/Facebook) có thể được xem là Could vì giảm thao tác đăng ký, nhưng tài khoản nội bộ đã đáp ứng nhu cầu đăng nhập cơ bản nên tôi để Won’t trong Release 1.</w:t>
      </w:r>
    </w:p>
    <w:p>
      <w:r>
        <w:t>Mục 5 (đặt trước sách khi hết) có thể được xếp Should nếu sách thường xuyên hết và nhu cầu đặt chờ cao; trong phạm vi MVP, thủ thư có thể ghi nhận yêu cầu thủ công, nên tôi ưu tiên sau các chức năng mượn cơ bản.</w:t>
      </w:r>
    </w:p>
    <w:p>
      <w:pPr>
        <w:pStyle w:val="Heading1"/>
      </w:pPr>
      <w:r>
        <w:t>4. Lưu ý về phạm vi Release 1</w:t>
      </w:r>
    </w:p>
    <w:p>
      <w:r>
        <w:t>Won’t this time không có nghĩa là loại bỏ vĩnh viễn; hai hạng mục này vẫn được giữ trong Product Backlog để xem xét ở các release sau. Thứ tự ưu tiên là đề xuất của Product Owner và có thể được điều chỉnh sau khi xác nhận thêm với thư viện về quy trình vận hành, nhu cầu độc giả và năng lực nhóm.</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