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TEST CONTRACT - SALE AND PURCHASE RISKY VERSION</w:t>
      </w:r>
    </w:p>
    <w:p>
      <w:pPr>
        <w:jc w:val="center"/>
      </w:pPr>
      <w:r>
        <w:rPr>
          <w:i/>
          <w:sz w:val="20"/>
        </w:rPr>
        <w:t>Expected result: multiple high/medium findings</w:t>
      </w:r>
    </w:p>
    <w:p/>
    <w:p>
      <w:pPr>
        <w:pStyle w:val="Heading2"/>
      </w:pPr>
      <w:r>
        <w:t>1. Parties</w:t>
      </w:r>
    </w:p>
    <w:p>
      <w:r>
        <w:t>This purchase agreement is entered into by HAUI Procurement Unit as Buyer and Minh An Trading JSC as Seller.</w:t>
      </w:r>
    </w:p>
    <w:p>
      <w:pPr>
        <w:pStyle w:val="Heading2"/>
      </w:pPr>
      <w:r>
        <w:t>2. Goods</w:t>
      </w:r>
    </w:p>
    <w:p>
      <w:r>
        <w:t>Seller will provide office equipment and related items as generally described in Seller quotation. Exact models and technical specifications may be substituted by Seller if Seller considers them equivalent.</w:t>
      </w:r>
    </w:p>
    <w:p>
      <w:pPr>
        <w:pStyle w:val="Heading2"/>
      </w:pPr>
      <w:r>
        <w:t>3. Price</w:t>
      </w:r>
    </w:p>
    <w:p>
      <w:r>
        <w:t>The price is estimated at VND 980,000,000 excluding taxes and other charges. Seller may adjust the price at any time before delivery due to market conditions, exchange rate, or supplier cost changes.</w:t>
      </w:r>
    </w:p>
    <w:p>
      <w:pPr>
        <w:pStyle w:val="Heading2"/>
      </w:pPr>
      <w:r>
        <w:t>4. Payment</w:t>
      </w:r>
    </w:p>
    <w:p>
      <w:r>
        <w:t>Buyer shall pay 100% of the price within three (3) days after signing. Payment is non-refundable regardless of delivery delay, defect, or cancellation.</w:t>
      </w:r>
    </w:p>
    <w:p>
      <w:pPr>
        <w:pStyle w:val="Heading2"/>
      </w:pPr>
      <w:r>
        <w:t>5. Delivery</w:t>
      </w:r>
    </w:p>
    <w:p>
      <w:r>
        <w:t>Seller will use reasonable efforts to deliver within ninety (90) days. Risk and title transfer to Buyer when goods leave Seller warehouse, even if goods are damaged during transport.</w:t>
      </w:r>
    </w:p>
    <w:p>
      <w:pPr>
        <w:pStyle w:val="Heading2"/>
      </w:pPr>
      <w:r>
        <w:t>6. Inspection</w:t>
      </w:r>
    </w:p>
    <w:p>
      <w:r>
        <w:t>All goods are deemed accepted upon delivery to carrier. Buyer has no right to reject goods after shipment unless Seller agrees in writing.</w:t>
      </w:r>
    </w:p>
    <w:p>
      <w:pPr>
        <w:pStyle w:val="Heading2"/>
      </w:pPr>
      <w:r>
        <w:t>7. Warranty Disclaimer</w:t>
      </w:r>
    </w:p>
    <w:p>
      <w:r>
        <w:t>Goods are sold as-is. Seller disclaims all warranties, including quality, fitness for purpose, origin, and compliance with specifications.</w:t>
      </w:r>
    </w:p>
    <w:p>
      <w:pPr>
        <w:pStyle w:val="Heading2"/>
      </w:pPr>
      <w:r>
        <w:t>8. Liability</w:t>
      </w:r>
    </w:p>
    <w:p>
      <w:r>
        <w:t>Buyer is liable for all direct, indirect, incidental, and consequential losses suffered by Seller. Seller shall not be liable for any loss, delay, defect, non-conformity, or third-party claim.</w:t>
      </w:r>
    </w:p>
    <w:p>
      <w:pPr>
        <w:pStyle w:val="Heading2"/>
      </w:pPr>
      <w:r>
        <w:t>9. Termination</w:t>
      </w:r>
    </w:p>
    <w:p>
      <w:r>
        <w:t>Only Seller may terminate this Agreement. Buyer may not cancel purchase orders once signed.</w:t>
      </w:r>
    </w:p>
    <w:p>
      <w:pPr>
        <w:pStyle w:val="Heading2"/>
      </w:pPr>
      <w:r>
        <w:t>10. Force Majeure</w:t>
      </w:r>
    </w:p>
    <w:p>
      <w:r>
        <w:t>Seller may suspend performance indefinitely for any event beyond Seller control or any event that makes performance commercially inconvenient.</w:t>
      </w:r>
    </w:p>
    <w:p>
      <w:pPr>
        <w:pStyle w:val="Heading2"/>
      </w:pPr>
      <w:r>
        <w:t>11. Dispute</w:t>
      </w:r>
    </w:p>
    <w:p>
      <w:r>
        <w:t>The parties will determine applicable law and dispute forum after a dispute arises.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