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CONTRACT - NDA RISKY VERSION</w:t>
      </w:r>
    </w:p>
    <w:p>
      <w:pPr>
        <w:jc w:val="center"/>
      </w:pPr>
      <w:r>
        <w:rPr>
          <w:i/>
          <w:sz w:val="20"/>
        </w:rPr>
        <w:t>Expected result: multiple high/medium findings</w:t>
      </w:r>
    </w:p>
    <w:p/>
    <w:p>
      <w:pPr>
        <w:pStyle w:val="Heading2"/>
      </w:pPr>
      <w:r>
        <w:t>1. Parties</w:t>
      </w:r>
    </w:p>
    <w:p>
      <w:r>
        <w:t>This NDA is made between HAUI Lab and Beta Services Co., Ltd. HAUI may disclose information to Beta Services.</w:t>
      </w:r>
    </w:p>
    <w:p>
      <w:pPr>
        <w:pStyle w:val="Heading2"/>
      </w:pPr>
      <w:r>
        <w:t>2. Purpose</w:t>
      </w:r>
    </w:p>
    <w:p>
      <w:r>
        <w:t>Recipient may use disclosed information for evaluation, service delivery, internal business analysis, marketing planning, and any other reasonable business purpose related to its operations.</w:t>
      </w:r>
    </w:p>
    <w:p>
      <w:pPr>
        <w:pStyle w:val="Heading2"/>
      </w:pPr>
      <w:r>
        <w:t>3. Confidential Information</w:t>
      </w:r>
    </w:p>
    <w:p>
      <w:r>
        <w:t>Confidential Information only means documents clearly stamped CONFIDENTIAL at the time of disclosure. Oral discussions, emails, technical demonstrations, samples, and analyses prepared by Recipient are not confidential unless later confirmed in writing by Recipient.</w:t>
      </w:r>
    </w:p>
    <w:p>
      <w:pPr>
        <w:pStyle w:val="Heading2"/>
      </w:pPr>
      <w:r>
        <w:t>4. Disclosure</w:t>
      </w:r>
    </w:p>
    <w:p>
      <w:r>
        <w:t>Recipient may disclose Confidential Information to employees, affiliates, contractors, investors, advisors, and potential partners whenever Recipient considers disclosure useful. Recipient is not required to ensure those persons sign equivalent confidentiality commitments.</w:t>
      </w:r>
    </w:p>
    <w:p>
      <w:pPr>
        <w:pStyle w:val="Heading2"/>
      </w:pPr>
      <w:r>
        <w:t>5. Security</w:t>
      </w:r>
    </w:p>
    <w:p>
      <w:r>
        <w:t>Recipient will use commercially convenient measures to protect information. Recipient has no obligation to notify HAUI of any data incident unless required by mandatory law.</w:t>
      </w:r>
    </w:p>
    <w:p>
      <w:pPr>
        <w:pStyle w:val="Heading2"/>
      </w:pPr>
      <w:r>
        <w:t>6. Exclusions</w:t>
      </w:r>
    </w:p>
    <w:p>
      <w:r>
        <w:t>Information is excluded if Recipient believes it is generally known in the industry or if similar information is available from any public or private source.</w:t>
      </w:r>
    </w:p>
    <w:p>
      <w:pPr>
        <w:pStyle w:val="Heading2"/>
      </w:pPr>
      <w:r>
        <w:t>7. Return or Destruction</w:t>
      </w:r>
    </w:p>
    <w:p>
      <w:r>
        <w:t>Recipient may retain all copies of Confidential Information for internal recordkeeping and future reference after the project ends.</w:t>
      </w:r>
    </w:p>
    <w:p>
      <w:pPr>
        <w:pStyle w:val="Heading2"/>
      </w:pPr>
      <w:r>
        <w:t>8. Term</w:t>
      </w:r>
    </w:p>
    <w:p>
      <w:r>
        <w:t>Confidentiality obligations expire six (6) months after disclosure, including for technical information and trade secrets.</w:t>
      </w:r>
    </w:p>
    <w:p>
      <w:pPr>
        <w:pStyle w:val="Heading2"/>
      </w:pPr>
      <w:r>
        <w:t>9. License</w:t>
      </w:r>
    </w:p>
    <w:p>
      <w:r>
        <w:t>HAUI grants Recipient a perpetual, royalty-free license to use ideas, know-how, concepts, and technical information disclosed during discussions.</w:t>
      </w:r>
    </w:p>
    <w:p>
      <w:pPr>
        <w:pStyle w:val="Heading2"/>
      </w:pPr>
      <w:r>
        <w:t>10. Remedies</w:t>
      </w:r>
    </w:p>
    <w:p>
      <w:r>
        <w:t>Monetary damages are the sole remedy. HAUI waives injunctive relief and specific performance.</w:t>
      </w:r>
    </w:p>
    <w:p>
      <w:pPr>
        <w:pStyle w:val="Heading2"/>
      </w:pPr>
      <w:r>
        <w:t>11. Governing Law</w:t>
      </w:r>
    </w:p>
    <w:p>
      <w:r>
        <w:t>The parties will discuss governing law later if a dispute occurs.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