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HAUI PLAYBOOK - THOA THUAN BAO MAT THONG TIN</w:t>
      </w:r>
    </w:p>
    <w:p>
      <w:pPr>
        <w:jc w:val="center"/>
      </w:pPr>
      <w:r>
        <w:rPr>
          <w:i/>
          <w:sz w:val="20"/>
        </w:rPr>
        <w:t>Rule set for NDA / confidentiality agreement review</w:t>
      </w:r>
    </w:p>
    <w:p/>
    <w:p>
      <w:r>
        <w:t>Use this playbook to review NDA contracts. Each rule includes severity and acceptable drafting position for AI testing.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Rule Category</w:t>
            </w:r>
          </w:p>
        </w:tc>
        <w:tc>
          <w:tcPr>
            <w:tcW w:type="dxa" w:w="2484"/>
          </w:tcPr>
          <w:p>
            <w:r>
              <w:rPr>
                <w:b/>
              </w:rPr>
              <w:t>Required Position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484"/>
          </w:tcPr>
          <w:p>
            <w:r>
              <w:rPr>
                <w:b/>
              </w:rPr>
              <w:t>Risk Signal</w:t>
            </w:r>
          </w:p>
        </w:tc>
      </w:tr>
      <w:tr>
        <w:tc>
          <w:tcPr>
            <w:tcW w:type="dxa" w:w="2484"/>
            <w:vAlign w:val="top"/>
          </w:tcPr>
          <w:p>
            <w:r>
              <w:t>Confidential Information</w:t>
            </w:r>
          </w:p>
        </w:tc>
        <w:tc>
          <w:tcPr>
            <w:tcW w:type="dxa" w:w="2484"/>
            <w:vAlign w:val="top"/>
          </w:tcPr>
          <w:p>
            <w:r>
              <w:t>Definition must include written, oral, electronic, technical, commercial, financial, personal data, and derived analyses.</w:t>
            </w:r>
          </w:p>
        </w:tc>
        <w:tc>
          <w:tcPr>
            <w:tcW w:type="dxa" w:w="2484"/>
            <w:vAlign w:val="top"/>
          </w:tcPr>
          <w:p>
            <w:r>
              <w:t>High</w:t>
            </w:r>
          </w:p>
        </w:tc>
        <w:tc>
          <w:tcPr>
            <w:tcW w:type="dxa" w:w="2484"/>
            <w:vAlign w:val="top"/>
          </w:tcPr>
          <w:p>
            <w:r>
              <w:t>Missing oral/electronic/derived information or limiting only to marked documents is high risk.</w:t>
            </w:r>
          </w:p>
        </w:tc>
      </w:tr>
      <w:tr>
        <w:tc>
          <w:tcPr>
            <w:tcW w:type="dxa" w:w="2484"/>
            <w:vAlign w:val="top"/>
          </w:tcPr>
          <w:p>
            <w:r>
              <w:t>Purpose Limitation</w:t>
            </w:r>
          </w:p>
        </w:tc>
        <w:tc>
          <w:tcPr>
            <w:tcW w:type="dxa" w:w="2484"/>
            <w:vAlign w:val="top"/>
          </w:tcPr>
          <w:p>
            <w:r>
              <w:t>Recipient may use confidential information only for evaluating or performing the stated transaction/project.</w:t>
            </w:r>
          </w:p>
        </w:tc>
        <w:tc>
          <w:tcPr>
            <w:tcW w:type="dxa" w:w="2484"/>
            <w:vAlign w:val="top"/>
          </w:tcPr>
          <w:p>
            <w:r>
              <w:t>High</w:t>
            </w:r>
          </w:p>
        </w:tc>
        <w:tc>
          <w:tcPr>
            <w:tcW w:type="dxa" w:w="2484"/>
            <w:vAlign w:val="top"/>
          </w:tcPr>
          <w:p>
            <w:r>
              <w:t>Broad use for any business purpose is unacceptable.</w:t>
            </w:r>
          </w:p>
        </w:tc>
      </w:tr>
      <w:tr>
        <w:tc>
          <w:tcPr>
            <w:tcW w:type="dxa" w:w="2484"/>
            <w:vAlign w:val="top"/>
          </w:tcPr>
          <w:p>
            <w:r>
              <w:t>Non-disclosure and Need-to-know</w:t>
            </w:r>
          </w:p>
        </w:tc>
        <w:tc>
          <w:tcPr>
            <w:tcW w:type="dxa" w:w="2484"/>
            <w:vAlign w:val="top"/>
          </w:tcPr>
          <w:p>
            <w:r>
              <w:t>Disclosure only to representatives with need-to-know and equivalent confidentiality obligations.</w:t>
            </w:r>
          </w:p>
        </w:tc>
        <w:tc>
          <w:tcPr>
            <w:tcW w:type="dxa" w:w="2484"/>
            <w:vAlign w:val="top"/>
          </w:tcPr>
          <w:p>
            <w:r>
              <w:t>High</w:t>
            </w:r>
          </w:p>
        </w:tc>
        <w:tc>
          <w:tcPr>
            <w:tcW w:type="dxa" w:w="2484"/>
            <w:vAlign w:val="top"/>
          </w:tcPr>
          <w:p>
            <w:r>
              <w:t>Disclosure to affiliates/advisors without obligations is high risk.</w:t>
            </w:r>
          </w:p>
        </w:tc>
      </w:tr>
      <w:tr>
        <w:tc>
          <w:tcPr>
            <w:tcW w:type="dxa" w:w="2484"/>
            <w:vAlign w:val="top"/>
          </w:tcPr>
          <w:p>
            <w:r>
              <w:t>Security Measures</w:t>
            </w:r>
          </w:p>
        </w:tc>
        <w:tc>
          <w:tcPr>
            <w:tcW w:type="dxa" w:w="2484"/>
            <w:vAlign w:val="top"/>
          </w:tcPr>
          <w:p>
            <w:r>
              <w:t>Recipient must apply reasonable technical and organizational security measures and notify breach within 48 hours.</w:t>
            </w:r>
          </w:p>
        </w:tc>
        <w:tc>
          <w:tcPr>
            <w:tcW w:type="dxa" w:w="2484"/>
            <w:vAlign w:val="top"/>
          </w:tcPr>
          <w:p>
            <w:r>
              <w:t>High</w:t>
            </w:r>
          </w:p>
        </w:tc>
        <w:tc>
          <w:tcPr>
            <w:tcW w:type="dxa" w:w="2484"/>
            <w:vAlign w:val="top"/>
          </w:tcPr>
          <w:p>
            <w:r>
              <w:t>No security or breach notice requirement is high risk.</w:t>
            </w:r>
          </w:p>
        </w:tc>
      </w:tr>
      <w:tr>
        <w:tc>
          <w:tcPr>
            <w:tcW w:type="dxa" w:w="2484"/>
            <w:vAlign w:val="top"/>
          </w:tcPr>
          <w:p>
            <w:r>
              <w:t>Exclusions</w:t>
            </w:r>
          </w:p>
        </w:tc>
        <w:tc>
          <w:tcPr>
            <w:tcW w:type="dxa" w:w="2484"/>
            <w:vAlign w:val="top"/>
          </w:tcPr>
          <w:p>
            <w:r>
              <w:t>Standard exclusions are allowed only if recipient proves information was public, already known, independently developed, or lawfully obtained.</w:t>
            </w:r>
          </w:p>
        </w:tc>
        <w:tc>
          <w:tcPr>
            <w:tcW w:type="dxa" w:w="2484"/>
            <w:vAlign w:val="top"/>
          </w:tcPr>
          <w:p>
            <w:r>
              <w:t>Medium</w:t>
            </w:r>
          </w:p>
        </w:tc>
        <w:tc>
          <w:tcPr>
            <w:tcW w:type="dxa" w:w="2484"/>
            <w:vAlign w:val="top"/>
          </w:tcPr>
          <w:p>
            <w:r>
              <w:t>Overbroad exclusions without burden of proof are medium risk.</w:t>
            </w:r>
          </w:p>
        </w:tc>
      </w:tr>
      <w:tr>
        <w:tc>
          <w:tcPr>
            <w:tcW w:type="dxa" w:w="2484"/>
            <w:vAlign w:val="top"/>
          </w:tcPr>
          <w:p>
            <w:r>
              <w:t>Term</w:t>
            </w:r>
          </w:p>
        </w:tc>
        <w:tc>
          <w:tcPr>
            <w:tcW w:type="dxa" w:w="2484"/>
            <w:vAlign w:val="top"/>
          </w:tcPr>
          <w:p>
            <w:r>
              <w:t>Confidentiality term must be at least 3 years; trade secrets survive as long as protected by law.</w:t>
            </w:r>
          </w:p>
        </w:tc>
        <w:tc>
          <w:tcPr>
            <w:tcW w:type="dxa" w:w="2484"/>
            <w:vAlign w:val="top"/>
          </w:tcPr>
          <w:p>
            <w:r>
              <w:t>High</w:t>
            </w:r>
          </w:p>
        </w:tc>
        <w:tc>
          <w:tcPr>
            <w:tcW w:type="dxa" w:w="2484"/>
            <w:vAlign w:val="top"/>
          </w:tcPr>
          <w:p>
            <w:r>
              <w:t>Term under 2 years or automatic early expiry is high risk.</w:t>
            </w:r>
          </w:p>
        </w:tc>
      </w:tr>
      <w:tr>
        <w:tc>
          <w:tcPr>
            <w:tcW w:type="dxa" w:w="2484"/>
            <w:vAlign w:val="top"/>
          </w:tcPr>
          <w:p>
            <w:r>
              <w:t>Return or Destruction</w:t>
            </w:r>
          </w:p>
        </w:tc>
        <w:tc>
          <w:tcPr>
            <w:tcW w:type="dxa" w:w="2484"/>
            <w:vAlign w:val="top"/>
          </w:tcPr>
          <w:p>
            <w:r>
              <w:t>Upon request or termination, recipient must return/destroy materials and certify destruction, except archival legal copies.</w:t>
            </w:r>
          </w:p>
        </w:tc>
        <w:tc>
          <w:tcPr>
            <w:tcW w:type="dxa" w:w="2484"/>
            <w:vAlign w:val="top"/>
          </w:tcPr>
          <w:p>
            <w:r>
              <w:t>Medium</w:t>
            </w:r>
          </w:p>
        </w:tc>
        <w:tc>
          <w:tcPr>
            <w:tcW w:type="dxa" w:w="2484"/>
            <w:vAlign w:val="top"/>
          </w:tcPr>
          <w:p>
            <w:r>
              <w:t>No return/destruction duty is medium risk.</w:t>
            </w:r>
          </w:p>
        </w:tc>
      </w:tr>
      <w:tr>
        <w:tc>
          <w:tcPr>
            <w:tcW w:type="dxa" w:w="2484"/>
            <w:vAlign w:val="top"/>
          </w:tcPr>
          <w:p>
            <w:r>
              <w:t>Injunctive Relief</w:t>
            </w:r>
          </w:p>
        </w:tc>
        <w:tc>
          <w:tcPr>
            <w:tcW w:type="dxa" w:w="2484"/>
            <w:vAlign w:val="top"/>
          </w:tcPr>
          <w:p>
            <w:r>
              <w:t>Disclosing party may seek injunctive/equitable relief for breach.</w:t>
            </w:r>
          </w:p>
        </w:tc>
        <w:tc>
          <w:tcPr>
            <w:tcW w:type="dxa" w:w="2484"/>
            <w:vAlign w:val="top"/>
          </w:tcPr>
          <w:p>
            <w:r>
              <w:t>Medium</w:t>
            </w:r>
          </w:p>
        </w:tc>
        <w:tc>
          <w:tcPr>
            <w:tcW w:type="dxa" w:w="2484"/>
            <w:vAlign w:val="top"/>
          </w:tcPr>
          <w:p>
            <w:r>
              <w:t>Missing equitable relief is medium risk.</w:t>
            </w:r>
          </w:p>
        </w:tc>
      </w:tr>
      <w:tr>
        <w:tc>
          <w:tcPr>
            <w:tcW w:type="dxa" w:w="2484"/>
            <w:vAlign w:val="top"/>
          </w:tcPr>
          <w:p>
            <w:r>
              <w:t>No License</w:t>
            </w:r>
          </w:p>
        </w:tc>
        <w:tc>
          <w:tcPr>
            <w:tcW w:type="dxa" w:w="2484"/>
            <w:vAlign w:val="top"/>
          </w:tcPr>
          <w:p>
            <w:r>
              <w:t>No IP/license transfer except limited right to use for purpose.</w:t>
            </w:r>
          </w:p>
        </w:tc>
        <w:tc>
          <w:tcPr>
            <w:tcW w:type="dxa" w:w="2484"/>
            <w:vAlign w:val="top"/>
          </w:tcPr>
          <w:p>
            <w:r>
              <w:t>Medium</w:t>
            </w:r>
          </w:p>
        </w:tc>
        <w:tc>
          <w:tcPr>
            <w:tcW w:type="dxa" w:w="2484"/>
            <w:vAlign w:val="top"/>
          </w:tcPr>
          <w:p>
            <w:r>
              <w:t>Implied ownership/license language is high risk.</w:t>
            </w:r>
          </w:p>
        </w:tc>
      </w:tr>
      <w:tr>
        <w:tc>
          <w:tcPr>
            <w:tcW w:type="dxa" w:w="2484"/>
            <w:vAlign w:val="top"/>
          </w:tcPr>
          <w:p>
            <w:r>
              <w:t>Governing Law and Dispute</w:t>
            </w:r>
          </w:p>
        </w:tc>
        <w:tc>
          <w:tcPr>
            <w:tcW w:type="dxa" w:w="2484"/>
            <w:vAlign w:val="top"/>
          </w:tcPr>
          <w:p>
            <w:r>
              <w:t>Vietnam law and competent Vietnamese courts/arbitration should be specified.</w:t>
            </w:r>
          </w:p>
        </w:tc>
        <w:tc>
          <w:tcPr>
            <w:tcW w:type="dxa" w:w="2484"/>
            <w:vAlign w:val="top"/>
          </w:tcPr>
          <w:p>
            <w:r>
              <w:t>Medium</w:t>
            </w:r>
          </w:p>
        </w:tc>
        <w:tc>
          <w:tcPr>
            <w:tcW w:type="dxa" w:w="2484"/>
            <w:vAlign w:val="top"/>
          </w:tcPr>
          <w:p>
            <w:r>
              <w:t>Missing governing law/dispute forum is medium risk.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