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HAUI PLAYBOOK - HOP DONG MUA BAN HANG HOA</w:t>
      </w:r>
    </w:p>
    <w:p>
      <w:pPr>
        <w:jc w:val="center"/>
      </w:pPr>
      <w:r>
        <w:rPr>
          <w:i/>
          <w:sz w:val="20"/>
        </w:rPr>
        <w:t>Rule set for sale and purchase agreement review</w:t>
      </w:r>
    </w:p>
    <w:p/>
    <w:p>
      <w:r>
        <w:t>Use this playbook to review sale and purchase contracts. Each rule includes severity and acceptable drafting position for AI testing.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rPr>
                <w:b/>
              </w:rPr>
              <w:t>Rule Category</w:t>
            </w:r>
          </w:p>
        </w:tc>
        <w:tc>
          <w:tcPr>
            <w:tcW w:type="dxa" w:w="2484"/>
          </w:tcPr>
          <w:p>
            <w:r>
              <w:rPr>
                <w:b/>
              </w:rPr>
              <w:t>Required Position</w:t>
            </w:r>
          </w:p>
        </w:tc>
        <w:tc>
          <w:tcPr>
            <w:tcW w:type="dxa" w:w="2484"/>
          </w:tcPr>
          <w:p>
            <w:r>
              <w:rPr>
                <w:b/>
              </w:rPr>
              <w:t>Severity</w:t>
            </w:r>
          </w:p>
        </w:tc>
        <w:tc>
          <w:tcPr>
            <w:tcW w:type="dxa" w:w="2484"/>
          </w:tcPr>
          <w:p>
            <w:r>
              <w:rPr>
                <w:b/>
              </w:rPr>
              <w:t>Risk Signal</w:t>
            </w:r>
          </w:p>
        </w:tc>
      </w:tr>
      <w:tr>
        <w:tc>
          <w:tcPr>
            <w:tcW w:type="dxa" w:w="2484"/>
            <w:vAlign w:val="top"/>
          </w:tcPr>
          <w:p>
            <w:r>
              <w:t>Goods and Specifications</w:t>
            </w:r>
          </w:p>
        </w:tc>
        <w:tc>
          <w:tcPr>
            <w:tcW w:type="dxa" w:w="2484"/>
            <w:vAlign w:val="top"/>
          </w:tcPr>
          <w:p>
            <w:r>
              <w:t>Goods must be described with model, quantity, quality standards, technical specs, and inspection criteria.</w:t>
            </w:r>
          </w:p>
        </w:tc>
        <w:tc>
          <w:tcPr>
            <w:tcW w:type="dxa" w:w="2484"/>
            <w:vAlign w:val="top"/>
          </w:tcPr>
          <w:p>
            <w:r>
              <w:t>High</w:t>
            </w:r>
          </w:p>
        </w:tc>
        <w:tc>
          <w:tcPr>
            <w:tcW w:type="dxa" w:w="2484"/>
            <w:vAlign w:val="top"/>
          </w:tcPr>
          <w:p>
            <w:r>
              <w:t>Vague goods description or missing specifications is high risk.</w:t>
            </w:r>
          </w:p>
        </w:tc>
      </w:tr>
      <w:tr>
        <w:tc>
          <w:tcPr>
            <w:tcW w:type="dxa" w:w="2484"/>
            <w:vAlign w:val="top"/>
          </w:tcPr>
          <w:p>
            <w:r>
              <w:t>Price and Taxes</w:t>
            </w:r>
          </w:p>
        </w:tc>
        <w:tc>
          <w:tcPr>
            <w:tcW w:type="dxa" w:w="2484"/>
            <w:vAlign w:val="top"/>
          </w:tcPr>
          <w:p>
            <w:r>
              <w:t>Price, currency, VAT/taxes, and price adjustment mechanism must be clear.</w:t>
            </w:r>
          </w:p>
        </w:tc>
        <w:tc>
          <w:tcPr>
            <w:tcW w:type="dxa" w:w="2484"/>
            <w:vAlign w:val="top"/>
          </w:tcPr>
          <w:p>
            <w:r>
              <w:t>High</w:t>
            </w:r>
          </w:p>
        </w:tc>
        <w:tc>
          <w:tcPr>
            <w:tcW w:type="dxa" w:w="2484"/>
            <w:vAlign w:val="top"/>
          </w:tcPr>
          <w:p>
            <w:r>
              <w:t>Unilateral price change or unclear tax responsibility is high risk.</w:t>
            </w:r>
          </w:p>
        </w:tc>
      </w:tr>
      <w:tr>
        <w:tc>
          <w:tcPr>
            <w:tcW w:type="dxa" w:w="2484"/>
            <w:vAlign w:val="top"/>
          </w:tcPr>
          <w:p>
            <w:r>
              <w:t>Payment Terms</w:t>
            </w:r>
          </w:p>
        </w:tc>
        <w:tc>
          <w:tcPr>
            <w:tcW w:type="dxa" w:w="2484"/>
            <w:vAlign w:val="top"/>
          </w:tcPr>
          <w:p>
            <w:r>
              <w:t>Payment schedule, invoice documents, bank details, and late payment interest cap must be stated.</w:t>
            </w:r>
          </w:p>
        </w:tc>
        <w:tc>
          <w:tcPr>
            <w:tcW w:type="dxa" w:w="2484"/>
            <w:vAlign w:val="top"/>
          </w:tcPr>
          <w:p>
            <w:r>
              <w:t>Medium</w:t>
            </w:r>
          </w:p>
        </w:tc>
        <w:tc>
          <w:tcPr>
            <w:tcW w:type="dxa" w:w="2484"/>
            <w:vAlign w:val="top"/>
          </w:tcPr>
          <w:p>
            <w:r>
              <w:t>Immediate/full prepayment without protection is medium/high risk.</w:t>
            </w:r>
          </w:p>
        </w:tc>
      </w:tr>
      <w:tr>
        <w:tc>
          <w:tcPr>
            <w:tcW w:type="dxa" w:w="2484"/>
            <w:vAlign w:val="top"/>
          </w:tcPr>
          <w:p>
            <w:r>
              <w:t>Delivery and Risk Transfer</w:t>
            </w:r>
          </w:p>
        </w:tc>
        <w:tc>
          <w:tcPr>
            <w:tcW w:type="dxa" w:w="2484"/>
            <w:vAlign w:val="top"/>
          </w:tcPr>
          <w:p>
            <w:r>
              <w:t>Delivery location, deadline, Incoterms if relevant, title/risk transfer point must be clear.</w:t>
            </w:r>
          </w:p>
        </w:tc>
        <w:tc>
          <w:tcPr>
            <w:tcW w:type="dxa" w:w="2484"/>
            <w:vAlign w:val="top"/>
          </w:tcPr>
          <w:p>
            <w:r>
              <w:t>High</w:t>
            </w:r>
          </w:p>
        </w:tc>
        <w:tc>
          <w:tcPr>
            <w:tcW w:type="dxa" w:w="2484"/>
            <w:vAlign w:val="top"/>
          </w:tcPr>
          <w:p>
            <w:r>
              <w:t>No risk transfer point or unilateral delivery delay is high risk.</w:t>
            </w:r>
          </w:p>
        </w:tc>
      </w:tr>
      <w:tr>
        <w:tc>
          <w:tcPr>
            <w:tcW w:type="dxa" w:w="2484"/>
            <w:vAlign w:val="top"/>
          </w:tcPr>
          <w:p>
            <w:r>
              <w:t>Inspection and Acceptance</w:t>
            </w:r>
          </w:p>
        </w:tc>
        <w:tc>
          <w:tcPr>
            <w:tcW w:type="dxa" w:w="2484"/>
            <w:vAlign w:val="top"/>
          </w:tcPr>
          <w:p>
            <w:r>
              <w:t>Buyer must have inspection period and rejection/remedy rights for non-conforming goods.</w:t>
            </w:r>
          </w:p>
        </w:tc>
        <w:tc>
          <w:tcPr>
            <w:tcW w:type="dxa" w:w="2484"/>
            <w:vAlign w:val="top"/>
          </w:tcPr>
          <w:p>
            <w:r>
              <w:t>High</w:t>
            </w:r>
          </w:p>
        </w:tc>
        <w:tc>
          <w:tcPr>
            <w:tcW w:type="dxa" w:w="2484"/>
            <w:vAlign w:val="top"/>
          </w:tcPr>
          <w:p>
            <w:r>
              <w:t>Deemed acceptance upon delivery without inspection is high risk.</w:t>
            </w:r>
          </w:p>
        </w:tc>
      </w:tr>
      <w:tr>
        <w:tc>
          <w:tcPr>
            <w:tcW w:type="dxa" w:w="2484"/>
            <w:vAlign w:val="top"/>
          </w:tcPr>
          <w:p>
            <w:r>
              <w:t>Warranty</w:t>
            </w:r>
          </w:p>
        </w:tc>
        <w:tc>
          <w:tcPr>
            <w:tcW w:type="dxa" w:w="2484"/>
            <w:vAlign w:val="top"/>
          </w:tcPr>
          <w:p>
            <w:r>
              <w:t>Warranty period at least 12 months unless justified, covering defects in material/workmanship and replacement/repair.</w:t>
            </w:r>
          </w:p>
        </w:tc>
        <w:tc>
          <w:tcPr>
            <w:tcW w:type="dxa" w:w="2484"/>
            <w:vAlign w:val="top"/>
          </w:tcPr>
          <w:p>
            <w:r>
              <w:t>High</w:t>
            </w:r>
          </w:p>
        </w:tc>
        <w:tc>
          <w:tcPr>
            <w:tcW w:type="dxa" w:w="2484"/>
            <w:vAlign w:val="top"/>
          </w:tcPr>
          <w:p>
            <w:r>
              <w:t>No warranty or seller disclaims all warranties is high risk.</w:t>
            </w:r>
          </w:p>
        </w:tc>
      </w:tr>
      <w:tr>
        <w:tc>
          <w:tcPr>
            <w:tcW w:type="dxa" w:w="2484"/>
            <w:vAlign w:val="top"/>
          </w:tcPr>
          <w:p>
            <w:r>
              <w:t>Liability and Indemnity</w:t>
            </w:r>
          </w:p>
        </w:tc>
        <w:tc>
          <w:tcPr>
            <w:tcW w:type="dxa" w:w="2484"/>
            <w:vAlign w:val="top"/>
          </w:tcPr>
          <w:p>
            <w:r>
              <w:t>Liability cap should be reasonable; indemnity for IP infringement, personal injury, fraud, willful misconduct should survive caps.</w:t>
            </w:r>
          </w:p>
        </w:tc>
        <w:tc>
          <w:tcPr>
            <w:tcW w:type="dxa" w:w="2484"/>
            <w:vAlign w:val="top"/>
          </w:tcPr>
          <w:p>
            <w:r>
              <w:t>High</w:t>
            </w:r>
          </w:p>
        </w:tc>
        <w:tc>
          <w:tcPr>
            <w:tcW w:type="dxa" w:w="2484"/>
            <w:vAlign w:val="top"/>
          </w:tcPr>
          <w:p>
            <w:r>
              <w:t>Unlimited buyer liability or seller excludes all liability is high risk.</w:t>
            </w:r>
          </w:p>
        </w:tc>
      </w:tr>
      <w:tr>
        <w:tc>
          <w:tcPr>
            <w:tcW w:type="dxa" w:w="2484"/>
            <w:vAlign w:val="top"/>
          </w:tcPr>
          <w:p>
            <w:r>
              <w:t>Termination</w:t>
            </w:r>
          </w:p>
        </w:tc>
        <w:tc>
          <w:tcPr>
            <w:tcW w:type="dxa" w:w="2484"/>
            <w:vAlign w:val="top"/>
          </w:tcPr>
          <w:p>
            <w:r>
              <w:t>Termination for material breach, insolvency, delayed delivery, and uncured defects after notice/cure period.</w:t>
            </w:r>
          </w:p>
        </w:tc>
        <w:tc>
          <w:tcPr>
            <w:tcW w:type="dxa" w:w="2484"/>
            <w:vAlign w:val="top"/>
          </w:tcPr>
          <w:p>
            <w:r>
              <w:t>Medium</w:t>
            </w:r>
          </w:p>
        </w:tc>
        <w:tc>
          <w:tcPr>
            <w:tcW w:type="dxa" w:w="2484"/>
            <w:vAlign w:val="top"/>
          </w:tcPr>
          <w:p>
            <w:r>
              <w:t>Only seller can terminate or no buyer termination right is medium risk.</w:t>
            </w:r>
          </w:p>
        </w:tc>
      </w:tr>
      <w:tr>
        <w:tc>
          <w:tcPr>
            <w:tcW w:type="dxa" w:w="2484"/>
            <w:vAlign w:val="top"/>
          </w:tcPr>
          <w:p>
            <w:r>
              <w:t>Force Majeure</w:t>
            </w:r>
          </w:p>
        </w:tc>
        <w:tc>
          <w:tcPr>
            <w:tcW w:type="dxa" w:w="2484"/>
            <w:vAlign w:val="top"/>
          </w:tcPr>
          <w:p>
            <w:r>
              <w:t>Force majeure must require notice, mitigation, and termination right after prolonged event.</w:t>
            </w:r>
          </w:p>
        </w:tc>
        <w:tc>
          <w:tcPr>
            <w:tcW w:type="dxa" w:w="2484"/>
            <w:vAlign w:val="top"/>
          </w:tcPr>
          <w:p>
            <w:r>
              <w:t>Medium</w:t>
            </w:r>
          </w:p>
        </w:tc>
        <w:tc>
          <w:tcPr>
            <w:tcW w:type="dxa" w:w="2484"/>
            <w:vAlign w:val="top"/>
          </w:tcPr>
          <w:p>
            <w:r>
              <w:t>Open-ended force majeure without notice/mitigation is medium risk.</w:t>
            </w:r>
          </w:p>
        </w:tc>
      </w:tr>
      <w:tr>
        <w:tc>
          <w:tcPr>
            <w:tcW w:type="dxa" w:w="2484"/>
            <w:vAlign w:val="top"/>
          </w:tcPr>
          <w:p>
            <w:r>
              <w:t>Governing Law and Dispute</w:t>
            </w:r>
          </w:p>
        </w:tc>
        <w:tc>
          <w:tcPr>
            <w:tcW w:type="dxa" w:w="2484"/>
            <w:vAlign w:val="top"/>
          </w:tcPr>
          <w:p>
            <w:r>
              <w:t>Vietnam law and competent Vietnamese court/arbitration should be specified.</w:t>
            </w:r>
          </w:p>
        </w:tc>
        <w:tc>
          <w:tcPr>
            <w:tcW w:type="dxa" w:w="2484"/>
            <w:vAlign w:val="top"/>
          </w:tcPr>
          <w:p>
            <w:r>
              <w:t>Medium</w:t>
            </w:r>
          </w:p>
        </w:tc>
        <w:tc>
          <w:tcPr>
            <w:tcW w:type="dxa" w:w="2484"/>
            <w:vAlign w:val="top"/>
          </w:tcPr>
          <w:p>
            <w:r>
              <w:t>Missing governing law/dispute forum is medium risk.</w:t>
            </w:r>
          </w:p>
        </w:tc>
      </w:tr>
    </w:tbl>
    <w:p/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