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TEMPLATE - SALE AND PURCHASE AGREEMENT</w:t>
      </w:r>
    </w:p>
    <w:p>
      <w:pPr>
        <w:jc w:val="center"/>
      </w:pPr>
      <w:r>
        <w:rPr>
          <w:i/>
          <w:sz w:val="20"/>
        </w:rPr>
        <w:t>Hợp đồng mua bán hàng hóa</w:t>
      </w:r>
    </w:p>
    <w:p/>
    <w:p>
      <w:pPr>
        <w:pStyle w:val="Heading2"/>
      </w:pPr>
      <w:r>
        <w:t>1. Parties</w:t>
      </w:r>
    </w:p>
    <w:p>
      <w:r>
        <w:t>This Sale and Purchase Agreement is entered into by Buyer and Seller as identified in the order form or contract particulars.</w:t>
      </w:r>
    </w:p>
    <w:p>
      <w:pPr>
        <w:pStyle w:val="Heading2"/>
      </w:pPr>
      <w:r>
        <w:t>2. Goods and Specifications</w:t>
      </w:r>
    </w:p>
    <w:p>
      <w:r>
        <w:t>Seller shall sell and deliver the goods described in Appendix 1, including model, quantity, origin, technical specifications, quality standards, packaging requirements, and inspection criteria.</w:t>
      </w:r>
    </w:p>
    <w:p>
      <w:pPr>
        <w:pStyle w:val="Heading2"/>
      </w:pPr>
      <w:r>
        <w:t>3. Price and Taxes</w:t>
      </w:r>
    </w:p>
    <w:p>
      <w:r>
        <w:t>The contract price, currency, VAT, taxes, duties, and any approved price adjustment are stated in Appendix 2. Seller may not change price unilaterally without Buyer written approval.</w:t>
      </w:r>
    </w:p>
    <w:p>
      <w:pPr>
        <w:pStyle w:val="Heading2"/>
      </w:pPr>
      <w:r>
        <w:t>4. Payment</w:t>
      </w:r>
    </w:p>
    <w:p>
      <w:r>
        <w:t>Buyer shall pay according to the milestone schedule after receiving valid invoice, delivery documents, and acceptance record. Late payment interest, if any, shall not exceed the rate permitted by Vietnamese law.</w:t>
      </w:r>
    </w:p>
    <w:p>
      <w:pPr>
        <w:pStyle w:val="Heading2"/>
      </w:pPr>
      <w:r>
        <w:t>5. Delivery</w:t>
      </w:r>
    </w:p>
    <w:p>
      <w:r>
        <w:t>Seller shall deliver goods to the agreed location by the delivery date. Risk of loss transfers to Buyer only after physical delivery, inspection opportunity, and signed delivery record, unless Incoterms specify otherwise.</w:t>
      </w:r>
    </w:p>
    <w:p>
      <w:pPr>
        <w:pStyle w:val="Heading2"/>
      </w:pPr>
      <w:r>
        <w:t>6. Inspection and Acceptance</w:t>
      </w:r>
    </w:p>
    <w:p>
      <w:r>
        <w:t>Buyer has ten (10) business days after delivery to inspect goods. Buyer may reject non-conforming goods and require repair, replacement, price reduction, or refund.</w:t>
      </w:r>
    </w:p>
    <w:p>
      <w:pPr>
        <w:pStyle w:val="Heading2"/>
      </w:pPr>
      <w:r>
        <w:t>7. Warranty</w:t>
      </w:r>
    </w:p>
    <w:p>
      <w:r>
        <w:t>Seller warrants that goods are new, genuine, free from defects, comply with specifications and law, and remain under warranty for at least twelve (12) months from acceptance.</w:t>
      </w:r>
    </w:p>
    <w:p>
      <w:pPr>
        <w:pStyle w:val="Heading2"/>
      </w:pPr>
      <w:r>
        <w:t>8. Liability and Indemnity</w:t>
      </w:r>
    </w:p>
    <w:p>
      <w:r>
        <w:t>Seller shall indemnify Buyer for third-party claims, IP infringement, personal injury, fraud, willful misconduct, and losses caused by defective or non-conforming goods. Liability limitations do not apply to these excluded claims.</w:t>
      </w:r>
    </w:p>
    <w:p>
      <w:pPr>
        <w:pStyle w:val="Heading2"/>
      </w:pPr>
      <w:r>
        <w:t>9. Termination</w:t>
      </w:r>
    </w:p>
    <w:p>
      <w:r>
        <w:t>Either party may terminate for material breach not cured within fifteen (15) days after notice. Buyer may terminate for repeated delay, serious defect, insolvency, or Seller failure to provide required documents.</w:t>
      </w:r>
    </w:p>
    <w:p>
      <w:pPr>
        <w:pStyle w:val="Heading2"/>
      </w:pPr>
      <w:r>
        <w:t>10. Force Majeure</w:t>
      </w:r>
    </w:p>
    <w:p>
      <w:r>
        <w:t>Affected party must notify within five (5) days, mitigate impact, and resume performance promptly. Either party may terminate if force majeure continues for more than sixty (60) days.</w:t>
      </w:r>
    </w:p>
    <w:p>
      <w:pPr>
        <w:pStyle w:val="Heading2"/>
      </w:pPr>
      <w:r>
        <w:t>11. Governing Law and Dispute Resolution</w:t>
      </w:r>
    </w:p>
    <w:p>
      <w:r>
        <w:t>This Agreement is governed by Vietnamese law. Disputes shall first be negotiated and, if unresolved, submitted to the competent court in Hanoi, Vietnam.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