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TEMPLATE - NON-DISCLOSURE AGREEMENT</w:t>
      </w:r>
    </w:p>
    <w:p>
      <w:pPr>
        <w:jc w:val="center"/>
      </w:pPr>
      <w:r>
        <w:rPr>
          <w:i/>
          <w:sz w:val="20"/>
        </w:rPr>
        <w:t>Bảo mật thông tin / NDA</w:t>
      </w:r>
    </w:p>
    <w:p/>
    <w:p>
      <w:pPr>
        <w:pStyle w:val="Heading2"/>
      </w:pPr>
      <w:r>
        <w:t>1. Parties</w:t>
      </w:r>
    </w:p>
    <w:p>
      <w:r>
        <w:t>This Non-Disclosure Agreement is entered into by HAUI Project Team as Disclosing Party and the Counterparty as Recipient. Each party may disclose or receive Confidential Information for the Purpose.</w:t>
      </w:r>
    </w:p>
    <w:p>
      <w:pPr>
        <w:pStyle w:val="Heading2"/>
      </w:pPr>
      <w:r>
        <w:t>2. Purpose</w:t>
      </w:r>
    </w:p>
    <w:p>
      <w:r>
        <w:t>Recipient may use Confidential Information solely to evaluate and perform the cooperation, procurement, research, or academic project described by the parties. No other use is permitted without prior written consent.</w:t>
      </w:r>
    </w:p>
    <w:p>
      <w:pPr>
        <w:pStyle w:val="Heading2"/>
      </w:pPr>
      <w:r>
        <w:t>3. Definition of Confidential Information</w:t>
      </w:r>
    </w:p>
    <w:p>
      <w:r>
        <w:t>Confidential Information means all non-public information disclosed in written, oral, visual, electronic, sample, prototype, database, technical, commercial, financial, operational, personal data, and derived or analyzed form, whether marked confidential or reasonably understood as confidential.</w:t>
      </w:r>
    </w:p>
    <w:p>
      <w:pPr>
        <w:pStyle w:val="Heading2"/>
      </w:pPr>
      <w:r>
        <w:t>4. Confidentiality Obligations</w:t>
      </w:r>
    </w:p>
    <w:p>
      <w:r>
        <w:t>Recipient shall keep Confidential Information strictly confidential, apply at least reasonable care and no less than the care used for its own confidential information, and disclose it only to representatives with a need to know and written or professional confidentiality obligations no less protective than this Agreement.</w:t>
      </w:r>
    </w:p>
    <w:p>
      <w:pPr>
        <w:pStyle w:val="Heading2"/>
      </w:pPr>
      <w:r>
        <w:t>5. Security and Incident Notice</w:t>
      </w:r>
    </w:p>
    <w:p>
      <w:r>
        <w:t>Recipient shall maintain reasonable technical and organizational safeguards. Recipient shall notify Disclosing Party within forty-eight (48) hours after becoming aware of unauthorized access, loss, disclosure, or suspected breach.</w:t>
      </w:r>
    </w:p>
    <w:p>
      <w:pPr>
        <w:pStyle w:val="Heading2"/>
      </w:pPr>
      <w:r>
        <w:t>6. Exclusions</w:t>
      </w:r>
    </w:p>
    <w:p>
      <w:r>
        <w:t>Confidential Information does not include information that Recipient can prove by written records was public without breach, already known before disclosure, independently developed without use of Confidential Information, or lawfully obtained from a third party without confidentiality duty.</w:t>
      </w:r>
    </w:p>
    <w:p>
      <w:pPr>
        <w:pStyle w:val="Heading2"/>
      </w:pPr>
      <w:r>
        <w:t>7. Return or Destruction</w:t>
      </w:r>
    </w:p>
    <w:p>
      <w:r>
        <w:t>Upon request or termination, Recipient shall promptly return or destroy Confidential Information and certify destruction, except one archival copy retained solely for legal compliance.</w:t>
      </w:r>
    </w:p>
    <w:p>
      <w:pPr>
        <w:pStyle w:val="Heading2"/>
      </w:pPr>
      <w:r>
        <w:t>8. Term</w:t>
      </w:r>
    </w:p>
    <w:p>
      <w:r>
        <w:t>This Agreement remains effective for three (3) years from the Effective Date. Trade secrets and highly sensitive technical or personal data remain protected for as long as allowed by law or until they become public without breach.</w:t>
      </w:r>
    </w:p>
    <w:p>
      <w:pPr>
        <w:pStyle w:val="Heading2"/>
      </w:pPr>
      <w:r>
        <w:t>9. No License</w:t>
      </w:r>
    </w:p>
    <w:p>
      <w:r>
        <w:t>No intellectual property right, license, assignment, or ownership interest is granted except the limited right to use Confidential Information for the Purpose.</w:t>
      </w:r>
    </w:p>
    <w:p>
      <w:pPr>
        <w:pStyle w:val="Heading2"/>
      </w:pPr>
      <w:r>
        <w:t>10. Remedies</w:t>
      </w:r>
    </w:p>
    <w:p>
      <w:r>
        <w:t>Recipient acknowledges that breach may cause irreparable harm and Disclosing Party may seek injunctive relief, specific performance, damages, and other remedies available by law.</w:t>
      </w:r>
    </w:p>
    <w:p>
      <w:pPr>
        <w:pStyle w:val="Heading2"/>
      </w:pPr>
      <w:r>
        <w:t>11. Governing Law and Dispute Resolution</w:t>
      </w:r>
    </w:p>
    <w:p>
      <w:r>
        <w:t>This Agreement is governed by the laws of Vietnam. Disputes shall first be negotiated in good faith and, if unresolved, submitted to the competent court in Hanoi, Vietnam.</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