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Calibri" w:hAnsi="Calibri"/>
          <w:b/>
          <w:color w:val="1E3A8A"/>
          <w:sz w:val="44"/>
        </w:rPr>
        <w:t>STRATEŠKI PLAN RAZVOJA I KOMERCIJALIZACIJE APLIKACIJE UNIFACE STUDIO</w:t>
      </w:r>
    </w:p>
    <w:p>
      <w:pPr>
        <w:spacing w:after="320"/>
      </w:pPr>
      <w:r>
        <w:rPr>
          <w:rFonts w:ascii="Calibri" w:hAnsi="Calibri"/>
          <w:i/>
          <w:color w:val="0F766E"/>
          <w:sz w:val="26"/>
        </w:rPr>
        <w:t>Od lokalnog biometrijskog sustava do komercijalnog softverskog proizvoda (Enterprise &amp; B2B)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Datum izrade:</w:t>
            </w:r>
          </w:p>
        </w:tc>
        <w:tc>
          <w:tcPr>
            <w:tcW w:type="dxa" w:w="72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Rujan 2026. godine</w:t>
            </w:r>
          </w:p>
        </w:tc>
      </w:tr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Verzija dokumenta:</w:t>
            </w:r>
          </w:p>
        </w:tc>
        <w:tc>
          <w:tcPr>
            <w:tcW w:type="dxa" w:w="72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1.0 — Strateški plan i roadmap</w:t>
            </w:r>
          </w:p>
        </w:tc>
      </w:tr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Status projekta:</w:t>
            </w:r>
          </w:p>
        </w:tc>
        <w:tc>
          <w:tcPr>
            <w:tcW w:type="dxa" w:w="72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Prototip optimiziran (Faze 1-3 dovršene: BLAS ubrzanje, cache, backup)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Cilj dokumenta:</w:t>
            </w:r>
          </w:p>
        </w:tc>
        <w:tc>
          <w:tcPr>
            <w:tcW w:type="dxa" w:w="72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Definiranje poslovnih modela, pravnih preduvjeta i tehničkih koraka za tržište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0"/>
        </w:rPr>
        <w:t>1. Izvršni sažetak i tržišni kontekst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UniFace Studio je u dosadašnjem razvoju evoluirao iz inicijalnog koncepta u izuzetno brz, visokoprecizan i stabilan biometrijski sustav za prepoznavanje lica. Kroz nedavno provedene tri faze optimizacije (vektorizirano NumPy BLAS pretraživanje, in-memory cache struktura, uklanjanje globalnih stanja i sustav za arhiviranje), aplikacija je dokazano sposobna pretraživati baze od preko 10.000 osoba u manje od 2 milisekunde na standardnom modernom hardveru.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Globalno i regionalno tržište biometrijskih sustava trenutno prolazi kroz veliku transformaciju. Dok su prethodnih godina dominirala rješenja u javnom oblaku (AWS Rekognition, Microsoft Azure Face API, Google Cloud Vision), europske kompanije i institucije sve više napuštaju cloud biometriju zbog dva ključna razloga: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1. Zaštita privatnosti i zakonitost (GDPR &amp; EU AI Act):</w:t>
      </w:r>
      <w:r>
        <w:rPr>
          <w:rFonts w:ascii="Calibri" w:hAnsi="Calibri"/>
          <w:color w:val="1E293B"/>
          <w:sz w:val="20"/>
        </w:rPr>
        <w:t xml:space="preserve"> Strogi regulatorni zahtjevi vezani uz obradu biometrije (članak 9. GDPR-a) i novousvojeni EU AI Act koji zabranjuju ili strogo penaliziraju prijenos osjetljivih biometrijskih podataka na poslužitelje u trećim zemljama.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2. Ekonomska održivost (Zero Recurring Cloud Costs):</w:t>
      </w:r>
      <w:r>
        <w:rPr>
          <w:rFonts w:ascii="Calibri" w:hAnsi="Calibri"/>
          <w:color w:val="1E293B"/>
          <w:sz w:val="20"/>
        </w:rPr>
        <w:t xml:space="preserve"> Komercijalni oblaci naplaćuju svaki pojedinačni API upit i svaki gigabajt pohrane, što na mjesečnoj razini stvara nepredvidive operativne troškove. UniFace radi 100% lokalno uz nula varijabilnih troškova.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66534"/>
                <w:sz w:val="21"/>
              </w:rPr>
              <w:t>📌 GLAVNA KOMERCIJALNA PREDNOST NA TRŽIŠTU</w:t>
              <w:br/>
            </w:r>
            <w:r>
              <w:rPr>
                <w:rFonts w:ascii="Calibri" w:hAnsi="Calibri"/>
                <w:color w:val="1F2937"/>
                <w:sz w:val="20"/>
              </w:rPr>
              <w:t>UniFace Studio posjeduje 'unfair advantage' (ključnu stratešku prednost): radi 100% lokalno (on-premises), ne šalje niti jedan podatak preko interneta, ne ovisi o internetskoj vezi i nudi munjevitu točnost zahvaljujući Centroid multi-sample tehnologiji spajanja više kuteva lica u jedinstveni model.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1E3A8A"/>
          <w:sz w:val="30"/>
        </w:rPr>
        <w:t>2. Analiza tržišnih segmenata (Kome prodati?)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Umjesto općenitog pokušaja prodaje 'svima', preporučuje se fokus na tri primarna vertikalna tržišta gdje postoji neposredna spremnost na plaćanje: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A. Poslovni sektor (SME) — Evidencija radnog vremena i kontrola pristupa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Problem koji rješavamo:</w:t>
      </w:r>
      <w:r>
        <w:rPr>
          <w:rFonts w:ascii="Calibri" w:hAnsi="Calibri"/>
          <w:color w:val="1E293B"/>
          <w:sz w:val="20"/>
        </w:rPr>
        <w:t xml:space="preserve"> Zamjena fizičkih RFID kartica ili PIN-ova koji se često gube, zaboravljaju ili posuđuju kolegama ('buddy punching'). Biometrija lica pruža 100% garanciju prisutnosti.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Ciljna skupina:</w:t>
      </w:r>
      <w:r>
        <w:rPr>
          <w:rFonts w:ascii="Calibri" w:hAnsi="Calibri"/>
          <w:color w:val="1E293B"/>
          <w:sz w:val="20"/>
        </w:rPr>
        <w:t xml:space="preserve"> Male i srednje tvrtke (od 20 do 500 zaposlenika), proizvodni pogoni, skladišta, poliklinike i odvjetnički uredi.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Spremnost na plaćanje:</w:t>
      </w:r>
      <w:r>
        <w:rPr>
          <w:rFonts w:ascii="Calibri" w:hAnsi="Calibri"/>
          <w:color w:val="1E293B"/>
          <w:sz w:val="20"/>
        </w:rPr>
        <w:t xml:space="preserve"> Visoka. Tvrtke već imaju proračun za evidenciju rada, a UniFace nudi znatno nižu cijenu od tromih korporativnih sustava.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B. Event i vjenčana fotografija — Automatizirano sortiranje i distribucija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Problem koji rješavamo:</w:t>
      </w:r>
      <w:r>
        <w:rPr>
          <w:rFonts w:ascii="Calibri" w:hAnsi="Calibri"/>
          <w:color w:val="1E293B"/>
          <w:sz w:val="20"/>
        </w:rPr>
        <w:t xml:space="preserve"> Fotografi nakon vjenčanja ili maratona troše i po 15-20 sati ručno pregledavajući 4.000 fotografija kako bi izdvojili slike mladenaca, kumova ili pojedinih trkača.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Ciljna skupina:</w:t>
      </w:r>
      <w:r>
        <w:rPr>
          <w:rFonts w:ascii="Calibri" w:hAnsi="Calibri"/>
          <w:color w:val="1E293B"/>
          <w:sz w:val="20"/>
        </w:rPr>
        <w:t xml:space="preserve"> Fotografski studiji, agencije za organizaciju evenata, organizatori sportskih utrka i konferencija.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Vrijednost:</w:t>
      </w:r>
      <w:r>
        <w:rPr>
          <w:rFonts w:ascii="Calibri" w:hAnsi="Calibri"/>
          <w:color w:val="1E293B"/>
          <w:sz w:val="20"/>
        </w:rPr>
        <w:t xml:space="preserve"> UniFace u nekoliko sekundi automatski razvrsta tisuće slika po mapama osoba, čime fotografu štedi dane rada.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C. Sportski centri, teretane i članski klubovi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Problem koji rješavamo:</w:t>
      </w:r>
      <w:r>
        <w:rPr>
          <w:rFonts w:ascii="Calibri" w:hAnsi="Calibri"/>
          <w:color w:val="1E293B"/>
          <w:sz w:val="20"/>
        </w:rPr>
        <w:t xml:space="preserve"> Beskontaktni ulazak na recepciji bez gužvi, automatska provjera valjanosti članarine pri ulasku člana.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Ciljna skupina:</w:t>
      </w:r>
      <w:r>
        <w:rPr>
          <w:rFonts w:ascii="Calibri" w:hAnsi="Calibri"/>
          <w:color w:val="1E293B"/>
          <w:sz w:val="20"/>
        </w:rPr>
        <w:t xml:space="preserve"> Fitness klubovi, bazeni, plesni centri, privatni sportski tereni.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0"/>
        </w:rPr>
        <w:t>3. Modeli monetizacije i cjenovna strategija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Kako bi se maksimizirao prihod, predlaže se kombinacija triju komplementarnih modela: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prodaje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Kome je namijenjeno</w:t>
            </w:r>
          </w:p>
        </w:tc>
        <w:tc>
          <w:tcPr>
            <w:tcW w:type="dxa" w:w="2448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Struktura cijene (Procjena)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Prednosti za prodavatelja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1. 'Turnkey Appliance'</w:t>
              <w:br/>
              <w:t>(Gotova hardver kutija)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Tvrtke, skladišta, poliklinike, teretane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1.200 € – 2.500 € jednokratno (uređaj + trajna licenca) + 250 €/god. održavanje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Najveća zarada po klijentu; kupac dobiva 'plug &amp; play' rješenje bez tehničkih komplikacija.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2. Softverska licenca</w:t>
              <w:br/>
              <w:t>(B2B Software Only)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Fotografi, IT tvrtke s postojećim PC-jem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Tier A (do 500 osoba): 490 €</w:t>
              <w:br/>
              <w:t>Tier B (do 5.000 osoba): 990 €</w:t>
              <w:br/>
              <w:t>Neograničeno: 1.800 €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Čista marža (gotovo 100%), nema troškova nabave i dostave hardvera.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3. Integracijski API</w:t>
              <w:br/>
              <w:t>(OEM Partnerstvo)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Proizvođači HR softvera, ERP sustava i sustava pametnih zgrada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Mjesečna partnerska naknada 150 € – 400 € / klijentu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Stabilan pasivni prihod (MRR); partner sam pronalazi kupce i prodaje vaše rješenje unutar svog softvera.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0"/>
        </w:rPr>
        <w:t>4. Pravni okvir i licencna usklađenost (Kritičan korak)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Za legalnu komercijalnu prodaju u Republici Hrvatskoj i Europskoj uniji potrebno je uskladiti dvije pravne cjeline: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4.1. Licencna čistoća AI modela (Utezi i arhitektura)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Temeljna biblioteka (InsightFace / ArcFace / FairFace) u nekim svojim pretreniranim verzijama koristi podatkovne skupove s nekomercijalnom (akademskom) licencom (npr. skupovi Glint360k ili MS1MV2). Za komercijalizaciju se primjenjuje jedna od dvije standardne industrijske prakse: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Opcija A (Preporučeno i najbrže):</w:t>
      </w:r>
      <w:r>
        <w:rPr>
          <w:rFonts w:ascii="Calibri" w:hAnsi="Calibri"/>
          <w:color w:val="1E293B"/>
          <w:sz w:val="20"/>
        </w:rPr>
        <w:t xml:space="preserve"> Zamjena checkpointa utezima treniranim na komercijalno dozvoljenim skupovima (npr. VGGFace2 pod dopuštenim uvjetima ili MobileFaceNet pod Apache 2.0 licencom). Ovo zadržava postojeću arhitekturu i vektorizirano pretraživanje, ali osigurava 100% legalnu prodaju.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Opcija B:</w:t>
      </w:r>
      <w:r>
        <w:rPr>
          <w:rFonts w:ascii="Calibri" w:hAnsi="Calibri"/>
          <w:color w:val="1E293B"/>
          <w:sz w:val="20"/>
        </w:rPr>
        <w:t xml:space="preserve"> Kupnja komercijalne licence od vlasnika modela ili treniranje prilagođenog modela na vlastitom skupu podataka.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4.2. GDPR i EU AI Act usklađenost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Uredba o umjetnoj inteligenciji (EU AI Act) strogo zabranjuje neselektivni biometrijski nadzor javnih prostora u realnom vremenu, ali izričito **dozvoljava** sustave biometrijske verifikacije uz privolu ili legitimni interes (npr. evidencija radnika, članski sustavi, zaštita objekata).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Kako bi UniFace bio tržišno certificiran, uz softver se kupcima isporučuje **GDPR paket dokumentacije**: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Pravilnik o privoli:</w:t>
      </w:r>
      <w:r>
        <w:rPr>
          <w:rFonts w:ascii="Calibri" w:hAnsi="Calibri"/>
          <w:color w:val="1E293B"/>
          <w:sz w:val="20"/>
        </w:rPr>
        <w:t xml:space="preserve"> Obrazac kojim zaposlenik/član dobrovoljno pristaje na biometrijsku evidenciju (čl. 9. GDPR-a).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Tehnički opis obrade (DPIA podloga):</w:t>
      </w:r>
      <w:r>
        <w:rPr>
          <w:rFonts w:ascii="Calibri" w:hAnsi="Calibri"/>
          <w:color w:val="1E293B"/>
          <w:sz w:val="20"/>
        </w:rPr>
        <w:t xml:space="preserve"> Detaljan tehnički dokument koji dokazuje da se u bazi ne čuvaju 'tajne snimke', već matematički 512-dimenzionalni vektori iz kojih je nemoguće rekonstruirati originalno lice bez ključa.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Modul 'Pravo na zaborav':</w:t>
      </w:r>
      <w:r>
        <w:rPr>
          <w:rFonts w:ascii="Calibri" w:hAnsi="Calibri"/>
          <w:color w:val="1E293B"/>
          <w:sz w:val="20"/>
        </w:rPr>
        <w:t xml:space="preserve"> Značajka u softveru koja na zahtjev osobe jednim klikom briše sve njezine vektore i generira PDF potvrdu o trajnom brisanju.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0"/>
        </w:rPr>
        <w:t>5. Tehnički roadmap razvoja (Plan po fazama)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Kako bi se aplikacija podigla na nivo 'Enterprise gotovog proizvoda', preporučuje se implementacija kroz 4 strukturirane faze: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Faza</w:t>
            </w:r>
          </w:p>
        </w:tc>
        <w:tc>
          <w:tcPr>
            <w:tcW w:type="dxa" w:w="2592"/>
            <w:shd w:val="clear" w:color="auto"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 / Značajka</w:t>
            </w:r>
          </w:p>
        </w:tc>
        <w:tc>
          <w:tcPr>
            <w:tcW w:type="dxa" w:w="3168"/>
            <w:shd w:val="clear" w:color="auto"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Opis implementacije</w:t>
            </w:r>
          </w:p>
        </w:tc>
        <w:tc>
          <w:tcPr>
            <w:tcW w:type="dxa" w:w="2304"/>
            <w:shd w:val="clear" w:color="auto"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Cilj &amp; Korist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Faza 1</w:t>
              <w:br/>
              <w:t>(Tjedan 1-3)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Sigurnost i Liveness</w:t>
              <w:br/>
              <w:t>(Anti-Spoofing)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Integracija detekcije 'živog lica' (MiniFASNet / Silent-Face-Anti-Spoofing). Otkriva pokušaj prevare pokazivanjem slike na mobitelu ili papiru.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Sprječavanje zloupotrebe i manipulacije evidencijom.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Faza 2</w:t>
              <w:br/>
              <w:t>(Tjedan 4-6)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Autentifikacija i Uloge</w:t>
              <w:br/>
              <w:t>(Role-Based Access)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Uvođenje sustava prijave (Login): Admin (puni pristup, backup, brisanje), Operater (unos novih, evidencija), Viewer (samo pregled).</w:t>
            </w:r>
          </w:p>
        </w:tc>
        <w:tc>
          <w:tcPr>
            <w:tcW w:type="dxa" w:w="230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Zaštita baze podataka od neovlaštenih izmjena zaposlenika.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Faza 3</w:t>
              <w:br/>
              <w:t>(Tjedan 7-10)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RTSP &amp; Web kamera</w:t>
              <w:br/>
              <w:t>(Real-Time Video)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Modul za direktno spajanje na mrežne sigurnosne IP kamere (RTSP protokol). Implementacija Face Trackera (npr. ByteTrack) za glatkih 30 FPS.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Potpuno beskontaktno prepoznavanje u hodu bez ručnog učitavanja slika.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Faza 4</w:t>
              <w:br/>
              <w:t>(Tjedan 11-14)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REST API Backend</w:t>
              <w:br/>
              <w:t>(FastAPI integracija)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Razvoj paralelnog REST API-ja s Swagger/OpenAPI dokumentacijom. Omogućuje integraciju s vanjskim softverima (ERP, CRM, satovi).</w:t>
            </w:r>
          </w:p>
        </w:tc>
        <w:tc>
          <w:tcPr>
            <w:tcW w:type="dxa" w:w="230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Mogućnost prodaje softvera drugim IT tvrtkama i integratorima.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0"/>
        </w:rPr>
        <w:t>6. SWOT Analiza komercijalizacije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SNAGE (Strengths)</w:t>
            </w:r>
          </w:p>
        </w:tc>
        <w:tc>
          <w:tcPr>
            <w:tcW w:type="dxa" w:w="4896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SLABOSTI (Weaknesses)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• 100% lokalno izvođenje (savršen GDPR profil)</w:t>
              <w:br/>
              <w:t>• Nula mjesečnih cloud troškova</w:t>
              <w:br/>
              <w:t>• Munjevita BLAS brzina (&lt;0.1 ms matching)</w:t>
              <w:br/>
              <w:t>• Centroid multi-sample točnost</w:t>
              <w:br/>
              <w:t>• Samostalna SQLite arhitektura (prenosiva)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• Trenutno ovisan o web pregledniku (Gradio)</w:t>
              <w:br/>
              <w:t>• Nedostatak ugrađenog Liveness detektora</w:t>
              <w:br/>
              <w:t>• Potreban komercijalni audit pretreniranih utega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PRILIKE (Opportunities)</w:t>
            </w:r>
          </w:p>
        </w:tc>
        <w:tc>
          <w:tcPr>
            <w:tcW w:type="dxa" w:w="4896"/>
            <w:shd w:val="clear" w:color="auto"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PRIJETNJE (Threats)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• Rastući otpor tržišta prema stranim cloud servisima</w:t>
              <w:br/>
              <w:t>• Velika potražnja u fitness, event i uredskom sektoru</w:t>
              <w:br/>
              <w:t>• Mogućnost prodaje gotovog hardver+softver paketa</w:t>
              <w:br/>
              <w:t>• Partnerstva s lokalnim instalaterima video nadzora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34155"/>
                <w:sz w:val="19"/>
              </w:rPr>
              <w:t>• Stroga regulativa ako se ne postave jasne privole</w:t>
              <w:br/>
              <w:t>• Konkurencija jeftinih kineskih hardverskih terminala (često lošiji softver, ali jeftiniji hardver)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0"/>
        </w:rPr>
        <w:t>7. Konkretni sljedeći koraci (Akcijski plan)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Kako bi se bez velikih financijskih ulaganja provjerila potražnja i započeo proces komercijalizacije, preporučuje se sljedeći redoslijed: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Korak 1 (Izrada 'Pitch' i Demo materijala):</w:t>
      </w:r>
      <w:r>
        <w:rPr>
          <w:rFonts w:ascii="Calibri" w:hAnsi="Calibri"/>
          <w:color w:val="1E293B"/>
          <w:sz w:val="20"/>
        </w:rPr>
        <w:t xml:space="preserve"> Napraviti kratki video ili prezentaciju (demo) rada sustava s 25+ osoba i demonstracijom točnosti i izvoza sigurnosne kopije.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Korak 2 (Pilot testiranje u stvarnim uvjetima):</w:t>
      </w:r>
      <w:r>
        <w:rPr>
          <w:rFonts w:ascii="Calibri" w:hAnsi="Calibri"/>
          <w:color w:val="1E293B"/>
          <w:sz w:val="20"/>
        </w:rPr>
        <w:t xml:space="preserve"> Prikazati rješenje trima prijateljskim tvrtkama (npr. lokalna teretana, fotografski studio i uredska firma). Dobiti stvarne povratne informacije: što im nedostaje, a što ih oduševljava.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Korak 3 (Dorada najtraženijih funkcija):</w:t>
      </w:r>
      <w:r>
        <w:rPr>
          <w:rFonts w:ascii="Calibri" w:hAnsi="Calibri"/>
          <w:color w:val="1E293B"/>
          <w:sz w:val="20"/>
        </w:rPr>
        <w:t xml:space="preserve"> Na temelju povratnih informacija ugraditi prioritetne značajke (najčešće Liveness detekcija ili izvoz u Excel za radno vrijeme).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Korak 4 (Lansiranje komercijalne ponude):</w:t>
      </w:r>
      <w:r>
        <w:rPr>
          <w:rFonts w:ascii="Calibri" w:hAnsi="Calibri"/>
          <w:color w:val="1E293B"/>
          <w:sz w:val="20"/>
        </w:rPr>
        <w:t xml:space="preserve"> Definirati konačni cjenik (preporučeno: 990 € jednokratno po lokaciji) i ponuditi gotov proizvod na tržištu.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66534"/>
                <w:sz w:val="21"/>
              </w:rPr>
              <w:t>📌 ZAVRŠNA OCJENA POTENCIJALA</w:t>
              <w:br/>
            </w:r>
            <w:r>
              <w:rPr>
                <w:rFonts w:ascii="Calibri" w:hAnsi="Calibri"/>
                <w:color w:val="1F2937"/>
                <w:sz w:val="20"/>
              </w:rPr>
              <w:t>UniFace Studio već sada ima čvrste tehničke temelje kakve nema većina studentskih ili open-source projekata. Kroz strateško pozicioniranje kao 'privatni, brzi, lokalni biometrijski sustav bez mjesečnih pretplata', proizvod ima sve predispozicije za uspješan B2B plasman na domaćem i regionalnom tržištu.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