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B2A4A"/>
          <w:sz w:val="30"/>
        </w:rPr>
        <w:t>HỌC VIỆN CÔNG NGHỆ BƯU CHÍNH VIỄN THÔNG</w:t>
      </w:r>
    </w:p>
    <w:p>
      <w:pPr>
        <w:jc w:val="center"/>
      </w:pPr>
      <w:r>
        <w:rPr>
          <w:b/>
          <w:sz w:val="26"/>
        </w:rPr>
        <w:t>KHOA AN TOÀN THÔNG TIN</w:t>
      </w:r>
    </w:p>
    <w:p>
      <w:pPr>
        <w:spacing w:before="360" w:after="200"/>
        <w:jc w:val="center"/>
      </w:pPr>
      <w:r>
        <w:drawing>
          <wp:inline xmlns:a="http://schemas.openxmlformats.org/drawingml/2006/main" xmlns:pic="http://schemas.openxmlformats.org/drawingml/2006/picture">
            <wp:extent cx="1188000" cy="1188000"/>
            <wp:docPr id="1" name="Picture 1"/>
            <wp:cNvGraphicFramePr>
              <a:graphicFrameLocks noChangeAspect="1"/>
            </wp:cNvGraphicFramePr>
            <a:graphic>
              <a:graphicData uri="http://schemas.openxmlformats.org/drawingml/2006/picture">
                <pic:pic>
                  <pic:nvPicPr>
                    <pic:cNvPr id="0" name="ptit-logo.jpeg"/>
                    <pic:cNvPicPr/>
                  </pic:nvPicPr>
                  <pic:blipFill>
                    <a:blip r:embed="rId10"/>
                    <a:stretch>
                      <a:fillRect/>
                    </a:stretch>
                  </pic:blipFill>
                  <pic:spPr>
                    <a:xfrm>
                      <a:off x="0" y="0"/>
                      <a:ext cx="1188000" cy="1188000"/>
                    </a:xfrm>
                    <a:prstGeom prst="rect"/>
                  </pic:spPr>
                </pic:pic>
              </a:graphicData>
            </a:graphic>
          </wp:inline>
        </w:drawing>
      </w:r>
    </w:p>
    <w:p>
      <w:pPr>
        <w:jc w:val="center"/>
      </w:pPr>
      <w:r>
        <w:rPr>
          <w:b/>
          <w:sz w:val="30"/>
        </w:rPr>
        <w:t>BÁO CÁO HỌC PHẦN</w:t>
      </w:r>
    </w:p>
    <w:p/>
    <w:p>
      <w:pPr>
        <w:jc w:val="center"/>
      </w:pPr>
      <w:r>
        <w:rPr>
          <w:b/>
          <w:color w:val="0B2A4A"/>
          <w:sz w:val="38"/>
        </w:rPr>
        <w:t>Đánh giá an toàn và bảo vệ dữ liệu người dùng</w:t>
      </w:r>
    </w:p>
    <w:p>
      <w:pPr>
        <w:jc w:val="center"/>
      </w:pPr>
      <w:r>
        <w:rPr>
          <w:b/>
          <w:color w:val="0B2A4A"/>
          <w:sz w:val="38"/>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Poison Null Byte</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qua </w:t>
      </w:r>
      <w:r>
        <w:rPr>
          <w:b/>
        </w:rPr>
        <w:t>bốn tình huống</w:t>
      </w:r>
      <w:r>
        <w:t xml:space="preserve">. Bốn thành viên thực hiện, mỗi người phụ trách một tình huống: hai lỗi ở mã nguồn (F01, F02), một rủi ro phơi nhiễm ở khâu vận hành (F03) và một fixture cấu hình sai chủ động dựng để kiểm tra chính sách (F04). Mỗi tình huống được trình bày theo mạch </w:t>
      </w:r>
      <w:r>
        <w:rPr>
          <w:b/>
        </w:rPr>
        <w:t>trước khi sửa → sau khi sửa</w:t>
      </w:r>
      <w:r>
        <w:t>, gồm cách phát hiện, cách xử lý, nguyên tắc/tiêu chuẩn đối chiếu,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Juice Shop là ứng dụng cố ý chứa lỗ hổng phục vụ huấn luyện; các phát hiện ở đây minh họa quy trình,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Poison Null Byte (lộ tệp sao lưu)</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r>
        <w:tc>
          <w:tcPr>
            <w:tcW w:type="dxa" w:w="3213"/>
          </w:tcPr>
          <w:p>
            <w:r>
              <w:t>Tệp cấu hình, sao lưu phía máy chủ</w:t>
            </w:r>
          </w:p>
        </w:tc>
        <w:tc>
          <w:tcPr>
            <w:tcW w:type="dxa" w:w="3213"/>
          </w:tcPr>
          <w:p>
            <w:r>
              <w:t>Không để tải về qua endpoint phục vụ tệp tĩnh</w:t>
            </w:r>
          </w:p>
        </w:tc>
        <w:tc>
          <w:tcPr>
            <w:tcW w:type="dxa" w:w="3213"/>
          </w:tcPr>
          <w:p>
            <w:r>
              <w:t>GDPR Điều 32(1)(b) (liên quan F02)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Bản vá của nhóm, đóng gói trong image hotfix triển khai ở cổng 3102</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2" name="Picture 2"/>
            <wp:cNvGraphicFramePr>
              <a:graphicFrameLocks noChangeAspect="1"/>
            </wp:cNvGraphicFramePr>
            <a:graphic>
              <a:graphicData uri="http://schemas.openxmlformats.org/drawingml/2006/picture">
                <pic:pic>
                  <pic:nvPicPr>
                    <pic:cNvPr id="0" name="hardening.png"/>
                    <pic:cNvPicPr/>
                  </pic:nvPicPr>
                  <pic:blipFill>
                    <a:blip r:embed="rId11"/>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Poison Null Byte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cảnh báo tại </w:t>
      </w:r>
      <w:r>
        <w:rPr>
          <w:rFonts w:ascii="Consolas" w:hAnsi="Consolas"/>
          <w:sz w:val="20"/>
        </w:rPr>
        <w:t>res.sendFile</w:t>
      </w:r>
      <w:r>
        <w:t xml:space="preserve"> (F02) chỉ nêu vị trí nhận tên tệp từ người dùng; phải kiểm thử HTTP mới xác định tệp có thực sự bị trả về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các tiêu chuẩn và nguyên tắc tham chiếu; ngưỡng và luật cụ thể do nhóm thiết kế cho môi trường lab. Báo cáo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SQL injection ở đăng nhập); A01 Broken Access Control/CWE-158 Poison Null Byte (F02 ở route tải tệp).</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3" name="Picture 3"/>
            <wp:cNvGraphicFramePr>
              <a:graphicFrameLocks noChangeAspect="1"/>
            </wp:cNvGraphicFramePr>
            <a:graphic>
              <a:graphicData uri="http://schemas.openxmlformats.org/drawingml/2006/picture">
                <pic:pic>
                  <pic:nvPicPr>
                    <pic:cNvPr id="0" name="devsecops-pipeline.png"/>
                    <pic:cNvPicPr/>
                  </pic:nvPicPr>
                  <pic:blipFill>
                    <a:blip r:embed="rId12"/>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4" name="Picture 4"/>
            <wp:cNvGraphicFramePr>
              <a:graphicFrameLocks noChangeAspect="1"/>
            </wp:cNvGraphicFramePr>
            <a:graphic>
              <a:graphicData uri="http://schemas.openxmlformats.org/drawingml/2006/picture">
                <pic:pic>
                  <pic:nvPicPr>
                    <pic:cNvPr id="0" name="env.png"/>
                    <pic:cNvPicPr/>
                  </pic:nvPicPr>
                  <pic:blipFill>
                    <a:blip r:embed="rId13"/>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Kiểm tra cấu hình container tại thời điểm chạy</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Kết quả Gitleaks và Conftest được lưu trong </w:t>
      </w:r>
      <w:r>
        <w:rPr>
          <w:rFonts w:ascii="Consolas" w:hAnsi="Consolas"/>
          <w:sz w:val="20"/>
        </w:rPr>
        <w:t>gitleaks.log</w:t>
      </w:r>
      <w:r>
        <w:t xml:space="preserve"> và </w:t>
      </w:r>
      <w:r>
        <w:rPr>
          <w:rFonts w:ascii="Consolas" w:hAnsi="Consolas"/>
          <w:sz w:val="20"/>
        </w:rPr>
        <w:t>conftest-verify.log</w:t>
      </w:r>
      <w:r>
        <w:t xml:space="preserve"> (kèm thời điểm, phiên bản công cụ và mã thoát). Các hình dưới được dựng lại từ các log đó; dòng kết luận PASS/chặn tính theo </w:t>
      </w:r>
      <w:r>
        <w:rPr>
          <w:b/>
        </w:rPr>
        <w:t>mã thoát</w:t>
      </w:r>
      <w:r>
        <w:t xml:space="preserve"> của lệnh, và mỗi hình ghi kèm thời điểm và exit code ở chân hình.</w:t>
      </w:r>
    </w:p>
    <w:p>
      <w:pPr>
        <w:jc w:val="center"/>
      </w:pPr>
      <w:r>
        <w:drawing>
          <wp:inline xmlns:a="http://schemas.openxmlformats.org/drawingml/2006/main" xmlns:pic="http://schemas.openxmlformats.org/drawingml/2006/picture">
            <wp:extent cx="5760000" cy="887351"/>
            <wp:docPr id="5" name="Picture 5"/>
            <wp:cNvGraphicFramePr>
              <a:graphicFrameLocks noChangeAspect="1"/>
            </wp:cNvGraphicFramePr>
            <a:graphic>
              <a:graphicData uri="http://schemas.openxmlformats.org/drawingml/2006/picture">
                <pic:pic>
                  <pic:nvPicPr>
                    <pic:cNvPr id="0" name="gitleaks.png"/>
                    <pic:cNvPicPr/>
                  </pic:nvPicPr>
                  <pic:blipFill>
                    <a:blip r:embed="rId14"/>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của nhóm: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6" name="Picture 6"/>
            <wp:cNvGraphicFramePr>
              <a:graphicFrameLocks noChangeAspect="1"/>
            </wp:cNvGraphicFramePr>
            <a:graphic>
              <a:graphicData uri="http://schemas.openxmlformats.org/drawingml/2006/picture">
                <pic:pic>
                  <pic:nvPicPr>
                    <pic:cNvPr id="0" name="conftest-verify.png"/>
                    <pic:cNvPicPr/>
                  </pic:nvPicPr>
                  <pic:blipFill>
                    <a:blip r:embed="rId15"/>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Poison Null Byte, lộ tệp sao lưu),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7" name="Picture 7"/>
            <wp:cNvGraphicFramePr>
              <a:graphicFrameLocks noChangeAspect="1"/>
            </wp:cNvGraphicFramePr>
            <a:graphic>
              <a:graphicData uri="http://schemas.openxmlformats.org/drawingml/2006/picture">
                <pic:pic>
                  <pic:nvPicPr>
                    <pic:cNvPr id="0" name="semgrep-overview.png"/>
                    <pic:cNvPicPr/>
                  </pic:nvPicPr>
                  <pic:blipFill>
                    <a:blip r:embed="rId16"/>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fileServer.ts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334919"/>
            <wp:docPr id="8" name="Picture 8"/>
            <wp:cNvGraphicFramePr>
              <a:graphicFrameLocks noChangeAspect="1"/>
            </wp:cNvGraphicFramePr>
            <a:graphic>
              <a:graphicData uri="http://schemas.openxmlformats.org/drawingml/2006/picture">
                <pic:pic>
                  <pic:nvPicPr>
                    <pic:cNvPr id="0" name="semgrep-scan.png"/>
                    <pic:cNvPicPr/>
                  </pic:nvPicPr>
                  <pic:blipFill>
                    <a:blip r:embed="rId17"/>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Poison Null Byte (</w:t>
      </w:r>
      <w:r>
        <w:rPr>
          <w:rFonts w:ascii="Consolas" w:hAnsi="Consolas"/>
          <w:i/>
          <w:sz w:val="22"/>
        </w:rPr>
        <w:t>fileServer.ts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xml:space="preserve"> — mã thoát này đủ điều kiện làm cổng chặn (chi tiết F04 ở mục 5.4):</w:t>
      </w:r>
    </w:p>
    <w:p>
      <w:pPr>
        <w:jc w:val="center"/>
      </w:pPr>
      <w:r>
        <w:drawing>
          <wp:inline xmlns:a="http://schemas.openxmlformats.org/drawingml/2006/main" xmlns:pic="http://schemas.openxmlformats.org/drawingml/2006/picture">
            <wp:extent cx="5760000" cy="1245405"/>
            <wp:docPr id="9" name="Picture 9"/>
            <wp:cNvGraphicFramePr>
              <a:graphicFrameLocks noChangeAspect="1"/>
            </wp:cNvGraphicFramePr>
            <a:graphic>
              <a:graphicData uri="http://schemas.openxmlformats.org/drawingml/2006/picture">
                <pic:pic>
                  <pic:nvPicPr>
                    <pic:cNvPr id="0" name="conftest-fail.png"/>
                    <pic:cNvPicPr/>
                  </pic:nvPicPr>
                  <pic:blipFill>
                    <a:blip r:embed="rId18"/>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mã thoát đủ để làm cổng chặn</w:t>
      </w:r>
    </w:p>
    <w:p>
      <w:pPr>
        <w:pStyle w:val="Heading2"/>
      </w:pPr>
      <w:r>
        <w:t>4.2. Bảng kết quả hợp nhất</w:t>
      </w:r>
    </w:p>
    <w:p>
      <w:pPr>
        <w:jc w:val="both"/>
      </w:pPr>
      <w:r>
        <w:t xml:space="preserve">Bảng dưới liên kết từng tình huống với kết quả và </w:t>
      </w:r>
      <w:r>
        <w:rPr>
          <w:b/>
        </w:rPr>
        <w:t>tệp bằng chứng</w:t>
      </w:r>
      <w:r>
        <w:t xml:space="preserve"> tương ứng (log gốc trong </w:t>
      </w:r>
      <w:r>
        <w:rPr>
          <w:rFonts w:ascii="Consolas" w:hAnsi="Consolas"/>
          <w:sz w:val="20"/>
        </w:rPr>
        <w:t>report/evidence/</w:t>
      </w:r>
      <w:r>
        <w:t>, kiểm thử, demo).</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rPr>
                <w:rFonts w:ascii="Consolas" w:hAnsi="Consolas"/>
                <w:sz w:val="20"/>
              </w:rPr>
              <w:t>GET /ftp/&lt;tên&gt;%2500.md</w:t>
            </w:r>
            <w:r>
              <w:t xml:space="preserve"> (poison null byte)</w:t>
            </w:r>
          </w:p>
        </w:tc>
        <w:tc>
          <w:tcPr>
            <w:tcW w:type="dxa" w:w="1377"/>
          </w:tcPr>
          <w:p>
            <w:r>
              <w:t>Từ chối tệp đuôi bị cấm</w:t>
            </w:r>
          </w:p>
        </w:tc>
        <w:tc>
          <w:tcPr>
            <w:tcW w:type="dxa" w:w="1377"/>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377"/>
          </w:tcPr>
          <w:p>
            <w:r>
              <w:t xml:space="preserve">403; tệp </w:t>
            </w:r>
            <w:r>
              <w:rPr>
                <w:rFonts w:ascii="Consolas" w:hAnsi="Consolas"/>
                <w:sz w:val="20"/>
              </w:rPr>
              <w:t>.md</w:t>
            </w:r>
            <w:r>
              <w:t xml:space="preserve"> hợp lệ vẫn tải</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tv2-f02.log</w:t>
            </w:r>
          </w:p>
        </w:tc>
        <w:tc>
          <w:tcPr>
            <w:tcW w:type="dxa" w:w="1377"/>
          </w:tcPr>
          <w:p>
            <w:r>
              <w:t>Mới thử 2 payload null byte; chưa đánh giá toàn bộ chuẩn hóa đường dẫn và chính sách công bố tệp</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Đánh giá giới hạn ở các luật đã định nghĩa; chưa ghim digest (mới cảnh báo)</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yêu cầu phản hồi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Nguyên tắc/tiêu chuẩn đối chiếu:</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Poison Null Byte làm lộ tệp sao lưu</w:t>
      </w:r>
    </w:p>
    <w:p>
      <w:pPr>
        <w:pStyle w:val="Heading3"/>
      </w:pPr>
      <w:r>
        <w:t>Trước khi sửa</w:t>
      </w:r>
    </w:p>
    <w:p>
      <w:pPr>
        <w:jc w:val="both"/>
      </w:pPr>
      <w:r>
        <w:t xml:space="preserve">Route </w:t>
      </w:r>
      <w:r>
        <w:rPr>
          <w:rFonts w:ascii="Consolas" w:hAnsi="Consolas"/>
          <w:sz w:val="20"/>
        </w:rPr>
        <w:t>routes/fileServer.ts</w:t>
      </w:r>
      <w:r>
        <w:t xml:space="preserve"> phục vụ tệp trong thư mục </w:t>
      </w:r>
      <w:r>
        <w:rPr>
          <w:rFonts w:ascii="Consolas" w:hAnsi="Consolas"/>
          <w:sz w:val="20"/>
        </w:rPr>
        <w:t>ftp/</w:t>
      </w:r>
      <w:r>
        <w:t xml:space="preserve"> qua </w:t>
      </w:r>
      <w:r>
        <w:rPr>
          <w:rFonts w:ascii="Consolas" w:hAnsi="Consolas"/>
          <w:sz w:val="20"/>
        </w:rPr>
        <w:t>GET /ftp/:file</w:t>
      </w:r>
      <w:r>
        <w:t xml:space="preserve">. Ứng dụng kiểm tra hậu tố </w:t>
      </w:r>
      <w:r>
        <w:rPr>
          <w:rFonts w:ascii="Consolas" w:hAnsi="Consolas"/>
          <w:sz w:val="20"/>
        </w:rPr>
        <w:t>.md</w:t>
      </w:r>
      <w:r>
        <w:t>/</w:t>
      </w:r>
      <w:r>
        <w:rPr>
          <w:rFonts w:ascii="Consolas" w:hAnsi="Consolas"/>
          <w:sz w:val="20"/>
        </w:rPr>
        <w:t>.pdf</w:t>
      </w:r>
      <w:r>
        <w:t xml:space="preserve"> (ngoài ra có ngoại lệ cho </w:t>
      </w:r>
      <w:r>
        <w:rPr>
          <w:rFonts w:ascii="Consolas" w:hAnsi="Consolas"/>
          <w:sz w:val="20"/>
        </w:rPr>
        <w:t>incident-support.kdbx</w:t>
      </w:r>
      <w:r>
        <w:t>), sau đó mới phục vụ:</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tại chuỗi literal "%00"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w:t>
      </w:r>
      <w:r>
        <w:rPr>
          <w:b/>
        </w:rPr>
        <w:t>thứ tự xử lý</w:t>
      </w:r>
      <w:r>
        <w:t xml:space="preserve">: tên tệp được </w:t>
      </w:r>
      <w:r>
        <w:rPr>
          <w:i/>
        </w:rPr>
        <w:t>kiểm tra</w:t>
      </w:r>
      <w:r>
        <w:t xml:space="preserve"> khác với tên </w:t>
      </w:r>
      <w:r>
        <w:rPr>
          <w:i/>
        </w:rPr>
        <w:t>thực sự dùng để đọc</w:t>
      </w:r>
      <w:r>
        <w:t xml:space="preserve">. Với yêu cầu </w:t>
      </w:r>
      <w:r>
        <w:rPr>
          <w:rFonts w:ascii="Consolas" w:hAnsi="Consolas"/>
          <w:sz w:val="20"/>
        </w:rPr>
        <w:t>/ftp/package.json.bak%2500.md</w:t>
      </w:r>
      <w:r>
        <w:t xml:space="preserve">, quá trình giải mã URL tạo tham số </w:t>
      </w:r>
      <w:r>
        <w:rPr>
          <w:rFonts w:ascii="Consolas" w:hAnsi="Consolas"/>
          <w:sz w:val="20"/>
        </w:rPr>
        <w:t>package.json.bak%00.md</w:t>
      </w:r>
      <w:r>
        <w:t xml:space="preserve">; tham số này vượt qua kiểm tra hậu tố </w:t>
      </w:r>
      <w:r>
        <w:rPr>
          <w:rFonts w:ascii="Consolas" w:hAnsi="Consolas"/>
          <w:sz w:val="20"/>
        </w:rPr>
        <w:t>.md</w:t>
      </w:r>
      <w:r>
        <w:t xml:space="preserve">, rồi hàm </w:t>
      </w:r>
      <w:r>
        <w:rPr>
          <w:rFonts w:ascii="Consolas" w:hAnsi="Consolas"/>
          <w:sz w:val="20"/>
        </w:rPr>
        <w:t>cutOffPoisonNullByte</w:t>
      </w:r>
      <w:r>
        <w:t xml:space="preserve"> cắt tại chuỗi </w:t>
      </w:r>
      <w:r>
        <w:rPr>
          <w:rFonts w:ascii="Consolas" w:hAnsi="Consolas"/>
          <w:sz w:val="20"/>
        </w:rPr>
        <w:t>%00</w:t>
      </w:r>
      <w:r>
        <w:t xml:space="preserve"> thành </w:t>
      </w:r>
      <w:r>
        <w:rPr>
          <w:rFonts w:ascii="Consolas" w:hAnsi="Consolas"/>
          <w:sz w:val="20"/>
        </w:rPr>
        <w:t>package.json.bak</w:t>
      </w:r>
      <w:r>
        <w:t xml:space="preserve"> và chuyển cho </w:t>
      </w:r>
      <w:r>
        <w:rPr>
          <w:rFonts w:ascii="Consolas" w:hAnsi="Consolas"/>
          <w:sz w:val="20"/>
        </w:rPr>
        <w:t>res.sendFile</w:t>
      </w:r>
      <w:r>
        <w:t xml:space="preserve">. Nhờ đó người dùng </w:t>
      </w:r>
      <w:r>
        <w:rPr>
          <w:b/>
        </w:rPr>
        <w:t>đọc được các tệp sao lưu phía máy chủ</w:t>
      </w:r>
      <w:r>
        <w:t xml:space="preserve"> mà bộ lọc đuôi lẽ ra chặn — ví dụ </w:t>
      </w:r>
      <w:r>
        <w:rPr>
          <w:rFonts w:ascii="Consolas" w:hAnsi="Consolas"/>
          <w:sz w:val="20"/>
        </w:rPr>
        <w:t>package.json.bak</w:t>
      </w:r>
      <w:r>
        <w:t xml:space="preserve"> (thông tin cấu hình, phiên bản dependency) hay </w:t>
      </w:r>
      <w:r>
        <w:rPr>
          <w:rFonts w:ascii="Consolas" w:hAnsi="Consolas"/>
          <w:sz w:val="20"/>
        </w:rPr>
        <w:t>coupons_2013.md.bak</w:t>
      </w:r>
      <w:r>
        <w:t xml:space="preserve"> (mã giảm giá). Đây là lỗi </w:t>
      </w:r>
      <w:r>
        <w:rPr>
          <w:b/>
        </w:rPr>
        <w:t>Poison Null Byte</w:t>
      </w:r>
      <w:r>
        <w:t xml:space="preserve"> (CWE-158; CWE-180 kiểm tra trước khi chuẩn hóa; OWASP A01:2021 Broken Access Control). Tình huống thực nghiệm chỉ chứng minh đọc được tệp </w:t>
      </w:r>
      <w:r>
        <w:rPr>
          <w:i/>
        </w:rPr>
        <w:t>bên trong</w:t>
      </w:r>
      <w:r>
        <w:t xml:space="preserve"> thư mục </w:t>
      </w:r>
      <w:r>
        <w:rPr>
          <w:rFonts w:ascii="Consolas" w:hAnsi="Consolas"/>
          <w:sz w:val="20"/>
        </w:rPr>
        <w:t>ftp/</w:t>
      </w:r>
      <w:r>
        <w:t>; chưa chứng minh truy cập ra ngoài thư mục này (</w:t>
      </w:r>
      <w:r>
        <w:rPr>
          <w:rFonts w:ascii="Consolas" w:hAnsi="Consolas"/>
          <w:sz w:val="20"/>
        </w:rPr>
        <w:t>/</w:t>
      </w:r>
      <w:r>
        <w:t xml:space="preserve"> bị chặn riêng).</w:t>
      </w:r>
    </w:p>
    <w:p>
      <w:pPr>
        <w:jc w:val="both"/>
      </w:pPr>
      <w:r>
        <w:rPr>
          <w:b/>
        </w:rPr>
        <w:t>Phát hiện.</w:t>
      </w:r>
      <w:r>
        <w:t xml:space="preserve"> Semgrep (luật </w:t>
      </w:r>
      <w:r>
        <w:rPr>
          <w:rFonts w:ascii="Consolas" w:hAnsi="Consolas"/>
          <w:sz w:val="20"/>
        </w:rPr>
        <w:t>express-res-sendfile</w:t>
      </w:r>
      <w:r>
        <w:t xml:space="preserve">) chỉ ra lời gọi </w:t>
      </w:r>
      <w:r>
        <w:rPr>
          <w:rFonts w:ascii="Consolas" w:hAnsi="Consolas"/>
          <w:sz w:val="20"/>
        </w:rPr>
        <w:t>res.sendFile</w:t>
      </w:r>
      <w:r>
        <w:t xml:space="preserve"> nhận tên tệp từ đầu vào người dùng — F02 là một trong các cảnh báo SAST được xác nhận (xem hình quét ở mục 4.1). Vì cảnh báo chỉ nêu vị trí, nhóm phân tích luồng xử lý và dùng </w:t>
      </w:r>
      <w:r>
        <w:rPr>
          <w:b/>
        </w:rPr>
        <w:t>kiểm thử HTTP</w:t>
      </w:r>
      <w:r>
        <w:t xml:space="preserve"> để xác nhận việc vượt bộ lọc: kiểm thử </w:t>
      </w:r>
      <w:r>
        <w:rPr>
          <w:rFonts w:ascii="Consolas" w:hAnsi="Consolas"/>
          <w:sz w:val="20"/>
        </w:rPr>
        <w:t>test/api/security/f01-f02.test.ts</w:t>
      </w:r>
      <w:r>
        <w:t xml:space="preserve"> gửi </w:t>
      </w:r>
      <w:r>
        <w:rPr>
          <w:rFonts w:ascii="Consolas" w:hAnsi="Consolas"/>
          <w:sz w:val="20"/>
        </w:rPr>
        <w:t>GET /ftp/package.json.bak%2500.md</w:t>
      </w:r>
      <w:r>
        <w:t xml:space="preserve"> và yêu cầu phản hồi 403; trên mã chưa sửa, ca này báo đỏ (Hình 9). Demo </w:t>
      </w:r>
      <w:r>
        <w:rPr>
          <w:rFonts w:ascii="Consolas" w:hAnsi="Consolas"/>
          <w:sz w:val="20"/>
        </w:rPr>
        <w:t>demos/tv2_f02_pathtraversal.py</w:t>
      </w:r>
      <w:r>
        <w:t xml:space="preserve"> cho thấy cùng payload đọc được nội dung tệp ở bản chưa vá (Hình 11).</w:t>
      </w:r>
    </w:p>
    <w:p>
      <w:pPr>
        <w:pStyle w:val="Heading3"/>
      </w:pPr>
      <w:r>
        <w:t>Sau khi sửa</w:t>
      </w:r>
    </w:p>
    <w:p>
      <w:pPr>
        <w:jc w:val="both"/>
      </w:pPr>
      <w:r>
        <w:t>Từ chối hẳn tên tệp chứa null byte (</w:t>
      </w:r>
      <w:r>
        <w:rPr>
          <w:rFonts w:ascii="Consolas" w:hAnsi="Consolas"/>
          <w:sz w:val="20"/>
        </w:rPr>
        <w:t>%00</w:t>
      </w:r>
      <w:r>
        <w:t xml:space="preserve"> dạng chuỗi hoặc ký tự NUL thực </w:t>
      </w:r>
      <w:r>
        <w:rPr>
          <w:rFonts w:ascii="Consolas" w:hAnsi="Consolas"/>
          <w:sz w:val="20"/>
        </w:rPr>
        <w:t>\u0000</w:t>
      </w:r>
      <w:r>
        <w:t xml:space="preserve">) </w:t>
      </w:r>
      <w:r>
        <w:rPr>
          <w:b/>
        </w:rPr>
        <w:t>trước</w:t>
      </w:r>
      <w:r>
        <w:t xml:space="preserve"> bước kiểm tra loại và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hai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xml:space="preserve">) vẫn trả về bình thường (Hình 11); kiểm thử bảo mật khi đó xanh toàn bộ (Hình 12). Kết quả xác nhận hiệu quả của bản vá </w:t>
      </w:r>
      <w:r>
        <w:rPr>
          <w:i/>
        </w:rPr>
        <w:t>với các payload đã thử</w:t>
      </w:r>
      <w:r>
        <w:t>, chưa đại diện cho đánh giá mọi biến thể chuẩn hóa đường dẫn hay toàn bộ chính sách công bố tệp.</w:t>
      </w:r>
    </w:p>
    <w:p>
      <w:pPr>
        <w:jc w:val="center"/>
      </w:pPr>
      <w:r>
        <w:drawing>
          <wp:inline xmlns:a="http://schemas.openxmlformats.org/drawingml/2006/main" xmlns:pic="http://schemas.openxmlformats.org/drawingml/2006/picture">
            <wp:extent cx="5400000" cy="988784"/>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400000" cy="988784"/>
                    </a:xfrm>
                    <a:prstGeom prst="rect"/>
                  </pic:spPr>
                </pic:pic>
              </a:graphicData>
            </a:graphic>
          </wp:inline>
        </w:drawing>
      </w:r>
    </w:p>
    <w:p>
      <w:pPr>
        <w:jc w:val="center"/>
      </w:pPr>
      <w:r>
        <w:rPr>
          <w:i/>
          <w:sz w:val="22"/>
        </w:rPr>
        <w:t xml:space="preserve">Hình 11.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Nguyên tắc/tiêu chuẩn đối chiếu:</w:t>
      </w:r>
      <w:r>
        <w:t xml:space="preserve"> GDPR Điều 5(1)(f), 32(1)(b) (bảo mật, toàn vẹn khi xử lý); Luật 91/2025/QH15 Điều 3 và NĐ 356/2025/NĐ-CP; Luật ATTTM 2015 Điều 17 (không để lộ dữ liệu cho bên thứ ba). </w:t>
      </w:r>
      <w:r>
        <w:rPr>
          <w:i/>
        </w:rPr>
        <w:t>Tệp bị lộ ở đây là cấu hình và mã giảm giá, không phải dữ liệu thẻ, nên không viện dẫn PCI-DSS.</w:t>
      </w:r>
      <w:r>
        <w:t xml:space="preserve">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Nguyên tắc/tiêu chuẩn đối chiếu:</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sử dụng cả đầu vào "xấu" (chứng minh luật bắt được) và đầu vào "tốt"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khai báo cổng 22 (SSH), 3306 (DB)</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kiểu "có lệnh </w:t>
      </w:r>
      <w:r>
        <w:rPr>
          <w:rFonts w:ascii="Consolas" w:hAnsi="Consolas"/>
          <w:sz w:val="20"/>
        </w:rPr>
        <w:t>USER</w:t>
      </w:r>
      <w:r>
        <w:t xml:space="preserve">" sẽ bỏ sót Dockerfile nhiều stage, vì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chỉ đánh giá quy ước khai báo image, không phản ánh phơi nhiễm mạng thực tế (phải kiểm tại runtime). Nói chung, metadata tự khai trong image không thay cho bằng chứng thực thi.</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cố định tham chiếu image, nhãn nguồn gốc hỗ trợ truy vết, COPY tránh kéo nội dung ngoài kiểm soát; đây là điều kiện cần cho build tái lập, chưa đủ nếu dependency và đầu vào build còn biến đổi.</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Conftest đánh giá cấu hình theo luật Rego, trả PASS/FAIL kèm lý do và mã thoát tương ứng; việc sửa cấu hình được thực hiện riêng trong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Trong thực nghiệm này, Conftest thực thi </w:t>
      </w:r>
      <w:r>
        <w:rPr>
          <w:b/>
        </w:rPr>
        <w:t>bộ luật Rego do nhóm cung cấp</w:t>
      </w:r>
      <w:r>
        <w:t xml:space="preserve"> để đánh giá cấu hình Dockerfile — bản thân công cụ không có luật sẵn, nên chính </w:t>
      </w:r>
      <w:r>
        <w:rPr>
          <w:i/>
        </w:rPr>
        <w:t>bộ luật</w:t>
      </w:r>
      <w:r>
        <w:t xml:space="preserve"> mới là cách phát hiện của F04. Bộ kiểm thử Dockerfile gồm </w:t>
      </w:r>
      <w:r>
        <w:rPr>
          <w:b/>
        </w:rPr>
        <w:t>13 ca</w:t>
      </w:r>
      <w:r>
        <w:t xml:space="preserve">, bao gồm các trường hợp root kèm group như </w:t>
      </w:r>
      <w:r>
        <w:rPr>
          <w:rFonts w:ascii="Consolas" w:hAnsi="Consolas"/>
          <w:sz w:val="20"/>
        </w:rPr>
        <w:t>0:1000</w:t>
      </w:r>
      <w:r>
        <w:t xml:space="preserve"> và </w:t>
      </w:r>
      <w:r>
        <w:rPr>
          <w:rFonts w:ascii="Consolas" w:hAnsi="Consolas"/>
          <w:sz w:val="20"/>
        </w:rPr>
        <w:t>root:1000</w:t>
      </w:r>
      <w:r>
        <w:t xml:space="preserve">; luật phân tích thành phần UID trước dấu </w:t>
      </w:r>
      <w:r>
        <w:rPr>
          <w:rFonts w:ascii="Consolas" w:hAnsi="Consolas"/>
          <w:sz w:val="20"/>
        </w:rPr>
        <w:t>:</w:t>
      </w:r>
      <w:r>
        <w:t xml:space="preserve"> để nhận diện root độc lập với group. Các ca được thiết kế để luật bắt đúng biến thể lách đã biết và không báo nhầm cấu hình hợp lệ; tất cả đạt trong lần chạy </w:t>
      </w:r>
      <w:r>
        <w:rPr>
          <w:rFonts w:ascii="Consolas" w:hAnsi="Consolas"/>
          <w:sz w:val="20"/>
        </w:rPr>
        <w:t>conftest verify</w:t>
      </w:r>
      <w:r>
        <w:t xml:space="preserve"> (19/19).</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có </w:t>
            </w:r>
            <w:r>
              <w:rPr>
                <w:rFonts w:ascii="Consolas" w:hAnsi="Consolas"/>
                <w:sz w:val="20"/>
              </w:rPr>
              <w:t>USER</w:t>
            </w:r>
            <w:r>
              <w:t xml:space="preserve"> không phải root (bắt buộc, </w:t>
            </w:r>
            <w:r>
              <w:rPr>
                <w:rFonts w:ascii="Consolas" w:hAnsi="Consolas"/>
                <w:sz w:val="20"/>
              </w:rPr>
              <w:t>deny</w:t>
            </w:r>
            <w:r>
              <w:t xml:space="preserve">; tách UID trước dấu </w:t>
            </w:r>
            <w:r>
              <w:rPr>
                <w:rFonts w:ascii="Consolas" w:hAnsi="Consolas"/>
                <w:sz w:val="20"/>
              </w:rPr>
              <w:t>:</w:t>
            </w:r>
            <w:r>
              <w:t>); khuyến nghị UID số (</w:t>
            </w:r>
            <w:r>
              <w:rPr>
                <w:rFonts w:ascii="Consolas" w:hAnsi="Consolas"/>
                <w:sz w:val="20"/>
              </w:rPr>
              <w:t>warn</w:t>
            </w:r>
            <w:r>
              <w:t xml:space="preserve"> nếu không)</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Nguyên tắc/tiêu chuẩn đối chiếu:</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Poison Null Byte làm lộ tệp sao lưu),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Kho mã Juice Shop gốc </w:t>
      </w:r>
      <w:r>
        <w:rPr>
          <w:b/>
        </w:rPr>
        <w:t>đã có</w:t>
      </w:r>
      <w:r>
        <w:t xml:space="preserve"> CI/CD, CodeQL và tạo SBOM;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5">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tài liệu hướng dẫn </w:t>
      </w:r>
      <w:r>
        <w:rPr>
          <w:i/>
        </w:rPr>
        <w:t>Policy as Code with Conftest</w:t>
      </w:r>
      <w:r>
        <w:t xml:space="preserve"> (Appendix A.1);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độc lập với group</w:t>
            </w:r>
            <w:r>
              <w:br/>
            </w:r>
            <w:r>
              <w:rPr>
                <w:rFonts w:ascii="Consolas" w:hAnsi="Consolas"/>
                <w:sz w:val="17"/>
              </w:rPr>
              <w:t># kèm theo, nên 'USER 0:1000' cũng bị nhận diện là root.</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OWASP A01:2021 / CWE-158</w:t>
            </w:r>
          </w:p>
        </w:tc>
        <w:tc>
          <w:tcPr>
            <w:tcW w:type="dxa" w:w="4819"/>
          </w:tcPr>
          <w:p>
            <w:r>
              <w:rPr>
                <w:i/>
              </w:rPr>
              <w:t>Broken Access Control</w:t>
            </w:r>
            <w:r>
              <w:t xml:space="preserve"> — xử lý sai null byte (</w:t>
            </w:r>
            <w:r>
              <w:rPr>
                <w:rFonts w:ascii="Consolas" w:hAnsi="Consolas"/>
                <w:sz w:val="20"/>
              </w:rPr>
              <w:t>%00</w:t>
            </w:r>
            <w:r>
              <w:t>) làm vượt kiểm tra loại tệp (F02)</w:t>
            </w:r>
          </w:p>
        </w:tc>
      </w:tr>
      <w:tr>
        <w:tc>
          <w:tcPr>
            <w:tcW w:type="dxa" w:w="4819"/>
          </w:tcPr>
          <w:p>
            <w:r>
              <w:t>CWE-180</w:t>
            </w:r>
          </w:p>
        </w:tc>
        <w:tc>
          <w:tcPr>
            <w:tcW w:type="dxa" w:w="4819"/>
          </w:tcPr>
          <w:p>
            <w:r>
              <w:t xml:space="preserve">Kiểm tra đầu vào </w:t>
            </w:r>
            <w:r>
              <w:rPr>
                <w:i/>
              </w:rPr>
              <w:t>trước khi</w:t>
            </w:r>
            <w:r>
              <w:t xml:space="preserve"> chuẩn hóa — tên được kiểm tra khác tên thực sự dùng</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