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IDOR giỏ hàng</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IDOR</w:t>
            </w:r>
          </w:p>
        </w:tc>
        <w:tc>
          <w:tcPr>
            <w:tcW w:type="dxa" w:w="4819"/>
          </w:tcPr>
          <w:p>
            <w:r>
              <w:t>Insecure Direct Object Reference — tham chiếu đối tượng thiếu kiểm soát truy cập</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Bốn thành viên thực hiện, mỗi người chịu trách nhiệm một lỗi an toàn: hai lỗi nằm ở mã nguồn, hai lỗi ở khâu triển khai và vận hành. Các lỗi đều được trình bày theo mạch </w:t>
      </w:r>
      <w:r>
        <w:rPr>
          <w:b/>
        </w:rPr>
        <w:t>trước khi sửa → sau khi sửa</w:t>
      </w:r>
      <w:r>
        <w:t>, lần lượt gồm cách phát hiện, cách xử lý, chính sách bị vi phạm,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Cũng cần nhắc lại rằng Juice Shop cố ý chứa lỗ hổng phục vụ huấn luyện, nên các phát hiện ở đây minh họa quy trình chứ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IDOR khi đọc giỏ hàng</w:t>
            </w:r>
          </w:p>
        </w:tc>
        <w:tc>
          <w:tcPr>
            <w:tcW w:type="dxa" w:w="2409"/>
          </w:tcPr>
          <w:p>
            <w:r>
              <w:t>Mã nguồn (phân quyền)</w:t>
            </w:r>
          </w:p>
        </w:tc>
        <w:tc>
          <w:tcPr>
            <w:tcW w:type="dxa" w:w="2409"/>
          </w:tcPr>
          <w:p>
            <w:r>
              <w:t>Design, 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 và ORM (F01,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giỏ hàng và thanh toán</w:t>
      </w:r>
    </w:p>
    <w:p>
      <w:pPr>
        <w:jc w:val="both"/>
      </w:pPr>
      <w:r>
        <w:t xml:space="preserve">Sau khi đăng nhập, người dùng gọi </w:t>
      </w:r>
      <w:r>
        <w:rPr>
          <w:rFonts w:ascii="Consolas" w:hAnsi="Consolas"/>
          <w:sz w:val="20"/>
        </w:rPr>
        <w:t>GET /rest/basket/:id</w:t>
      </w:r>
      <w:r>
        <w:t xml:space="preserve"> để xem giỏ. Route </w:t>
      </w:r>
      <w:r>
        <w:rPr>
          <w:rFonts w:ascii="Consolas" w:hAnsi="Consolas"/>
          <w:sz w:val="20"/>
        </w:rPr>
        <w:t>routes/basket.ts</w:t>
      </w:r>
      <w:r>
        <w:t xml:space="preserve"> tìm giỏ theo </w:t>
      </w:r>
      <w:r>
        <w:rPr>
          <w:rFonts w:ascii="Consolas" w:hAnsi="Consolas"/>
          <w:sz w:val="20"/>
        </w:rPr>
        <w:t>id</w:t>
      </w:r>
      <w:r>
        <w:t xml:space="preserve"> trên URL nhưng bỏ qua việc kiểm tra giỏ đó có thuộc về người gọi hay không, và đây là gốc của lỗi </w:t>
      </w:r>
      <w:r>
        <w:rPr>
          <w:b/>
        </w:rPr>
        <w:t>F02</w:t>
      </w:r>
      <w:r>
        <w:t>. Vì dữ liệu giỏ hàng phản ánh thói quen mua sắm, nó cần được bảo vệ chặt theo quyền sở hữu.</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tại commit </w:t>
            </w:r>
            <w:r>
              <w:rPr>
                <w:rFonts w:ascii="Consolas" w:hAnsi="Consolas"/>
                <w:sz w:val="20"/>
              </w:rPr>
              <w:t>21219d66d</w:t>
            </w:r>
            <w:r>
              <w:t xml:space="preserve">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 xml:space="preserve">Nhánh </w:t>
            </w:r>
            <w:r>
              <w:rPr>
                <w:rFonts w:ascii="Consolas" w:hAnsi="Consolas"/>
                <w:sz w:val="20"/>
              </w:rPr>
              <w:t>fix/f01-f04</w:t>
            </w:r>
            <w:r>
              <w:t xml:space="preserve"> (bản vá của nhóm)</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nó không biết một endpoint xoá dữ liệu có thực sự xoá hay chỉ ghi nhận yêu cầu, cũng không biết một API có trả về đầy đủ số thẻ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những chính sách và tiêu chuẩn phổ biến chứ không phải quy ước tự đặt ra, sử dụng </w:t>
      </w:r>
      <w:r>
        <w:rPr>
          <w:b/>
        </w:rPr>
        <w:t>song song</w:t>
      </w:r>
      <w:r>
        <w:t xml:space="preserve"> khung quốc tế lẫn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A01 Broken Access Control/CWE-639 (F02).</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Soi container đang chạy ở thời điểm runtime</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Hai cổng tự động dưới đây đã chạy thật. Các hình được </w:t>
      </w:r>
      <w:r>
        <w:rPr>
          <w:b/>
        </w:rPr>
        <w:t>dựng lại từ log chạy thực</w:t>
      </w:r>
      <w:r>
        <w:t xml:space="preserve"> (log gốc kèm mã evidence trong thư mục </w:t>
      </w:r>
      <w:r>
        <w:rPr>
          <w:rFonts w:ascii="Consolas" w:hAnsi="Consolas"/>
          <w:sz w:val="20"/>
        </w:rPr>
        <w:t>report/evidence/</w:t>
      </w:r>
      <w:r>
        <w:t xml:space="preserve">); dòng kết luận PASS/chặn được tính theo </w:t>
      </w:r>
      <w:r>
        <w:rPr>
          <w:b/>
        </w:rPr>
        <w:t>mã thoát thật</w:t>
      </w:r>
      <w:r>
        <w:t xml:space="preserve"> của lệnh — mỗi hình ghi kèm thời điểm chạy, commit và exit code ở chân hình.</w:t>
      </w:r>
    </w:p>
    <w:p>
      <w:pPr>
        <w:jc w:val="center"/>
      </w:pPr>
      <w:r>
        <w:drawing>
          <wp:inline xmlns:a="http://schemas.openxmlformats.org/drawingml/2006/main" xmlns:pic="http://schemas.openxmlformats.org/drawingml/2006/picture">
            <wp:extent cx="5760000" cy="887351"/>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(phạm vi </w:t>
      </w:r>
      <w:r>
        <w:rPr>
          <w:rFonts w:ascii="Consolas" w:hAnsi="Consolas"/>
          <w:i/>
          <w:sz w:val="22"/>
        </w:rPr>
        <w:t>baf9dcea4..HEAD</w:t>
      </w:r>
      <w:r>
        <w:rPr>
          <w:i/>
          <w:sz w:val="22"/>
        </w:rPr>
        <w:t xml:space="preserve">): 30 commit,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Ở tầng mã nguồn, phân tích tĩnh chỉ ra chính xác hai điểm thuộc phạm vi: </w:t>
      </w:r>
      <w:r>
        <w:rPr>
          <w:b/>
        </w:rPr>
        <w:t>F01</w:t>
      </w:r>
      <w:r>
        <w:t xml:space="preserve"> tại </w:t>
      </w:r>
      <w:r>
        <w:rPr>
          <w:rFonts w:ascii="Consolas" w:hAnsi="Consolas"/>
          <w:sz w:val="20"/>
        </w:rPr>
        <w:t>login.ts</w:t>
      </w:r>
      <w:r>
        <w:t xml:space="preserve"> (rule </w:t>
      </w:r>
      <w:r>
        <w:rPr>
          <w:rFonts w:ascii="Consolas" w:hAnsi="Consolas"/>
          <w:sz w:val="20"/>
        </w:rPr>
        <w:t>express-sequelize-injection</w:t>
      </w:r>
      <w:r>
        <w:t xml:space="preserve">, trỏ đúng dòng ghép chuỗi SQL) và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Lỗi F02 thuộc loại kiểm soát truy cập, không phải loại mà SAST phát hiện được; cách tìm ra F02 trình bày ở mục 5.2.</w:t>
      </w:r>
    </w:p>
    <w:p>
      <w:pPr>
        <w:jc w:val="center"/>
      </w:pPr>
      <w:r>
        <w:drawing>
          <wp:inline xmlns:a="http://schemas.openxmlformats.org/drawingml/2006/main" xmlns:pic="http://schemas.openxmlformats.org/drawingml/2006/picture">
            <wp:extent cx="5760000" cy="3035676"/>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và băm MD5 (</w:t>
      </w:r>
      <w:r>
        <w:rPr>
          <w:rFonts w:ascii="Consolas" w:hAnsi="Consolas"/>
          <w:i/>
          <w:sz w:val="22"/>
        </w:rPr>
        <w:t>insecurity.ts</w:t>
      </w:r>
      <w:r>
        <w:rPr>
          <w:i/>
          <w:sz w:val="22"/>
        </w:rPr>
        <w:t xml:space="preserve">) thuộc phạm vi;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155892"/>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1155892"/>
                    </a:xfrm>
                    <a:prstGeom prst="rect"/>
                  </pic:spPr>
                </pic:pic>
              </a:graphicData>
            </a:graphic>
          </wp:inline>
        </w:drawing>
      </w:r>
    </w:p>
    <w:p>
      <w:pPr>
        <w:jc w:val="center"/>
      </w:pPr>
      <w:r>
        <w:rPr>
          <w:i/>
          <w:sz w:val="22"/>
        </w:rPr>
        <w:t xml:space="preserve">Hình 7. </w:t>
      </w:r>
      <w:r>
        <w:rPr>
          <w:i/>
          <w:sz w:val="22"/>
        </w:rPr>
        <w:t xml:space="preserve">Chi tiết hai điểm Semgrep xác định trong phạm vi: F01 SQL injection tại </w:t>
      </w:r>
      <w:r>
        <w:rPr>
          <w:rFonts w:ascii="Consolas" w:hAnsi="Consolas"/>
          <w:i/>
          <w:sz w:val="22"/>
        </w:rPr>
        <w:t>login.ts</w:t>
      </w:r>
      <w:r>
        <w:rPr>
          <w:i/>
          <w:sz w:val="22"/>
        </w:rPr>
        <w:t xml:space="preserve"> và băm MD5 không salt tại </w:t>
      </w:r>
      <w:r>
        <w:rPr>
          <w:rFonts w:ascii="Consolas" w:hAnsi="Consolas"/>
          <w:i/>
          <w:sz w:val="22"/>
        </w:rPr>
        <w:t>lib/insecurity.ts</w:t>
      </w:r>
      <w:r>
        <w:rPr>
          <w:i/>
          <w:sz w:val="22"/>
        </w:rPr>
        <w:t>; kèm ghi chú vì sao F02 không nằm trong nhóm này</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đủ điều kiện làm cổng chặn phát hành (chi tiết F04 ở mục 5.4):</w:t>
      </w:r>
    </w:p>
    <w:p>
      <w:pPr>
        <w:jc w:val="center"/>
      </w:pPr>
      <w:r>
        <w:drawing>
          <wp:inline xmlns:a="http://schemas.openxmlformats.org/drawingml/2006/main" xmlns:pic="http://schemas.openxmlformats.org/drawingml/2006/picture">
            <wp:extent cx="5760000" cy="1245405"/>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gate chặn phát hành</w:t>
      </w:r>
    </w:p>
    <w:p>
      <w:pPr>
        <w:pStyle w:val="Heading2"/>
      </w:pPr>
      <w:r>
        <w:t>4.2. Bảng kết quả hợp nhất</w:t>
      </w:r>
    </w:p>
    <w:p>
      <w:pPr>
        <w:jc w:val="both"/>
      </w:pPr>
      <w:r>
        <w:t xml:space="preserve">Bảng dưới tổng hợp bốn tình huống theo cùng một mẫu, kèm </w:t>
      </w:r>
      <w:r>
        <w:rPr>
          <w:b/>
        </w:rPr>
        <w:t>mã bằng chứng</w:t>
      </w:r>
      <w:r>
        <w:t xml:space="preserve"> (log gốc trong </w:t>
      </w:r>
      <w:r>
        <w:rPr>
          <w:rFonts w:ascii="Consolas" w:hAnsi="Consolas"/>
          <w:sz w:val="20"/>
        </w:rPr>
        <w:t>report/evidence/</w:t>
      </w:r>
      <w:r>
        <w:t>, kiểm thử, demo) để mỗi kết luận đều truy về được dữ liệu chạy thật.</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t>Token A đọc giỏ của B</w:t>
            </w:r>
          </w:p>
        </w:tc>
        <w:tc>
          <w:tcPr>
            <w:tcW w:type="dxa" w:w="1377"/>
          </w:tcPr>
          <w:p>
            <w:r>
              <w:t>Từ chối (404)</w:t>
            </w:r>
          </w:p>
        </w:tc>
        <w:tc>
          <w:tcPr>
            <w:tcW w:type="dxa" w:w="1377"/>
          </w:tcPr>
          <w:p>
            <w:r>
              <w:t>Trả về giỏ của B (IDOR)</w:t>
            </w:r>
          </w:p>
        </w:tc>
        <w:tc>
          <w:tcPr>
            <w:tcW w:type="dxa" w:w="1377"/>
          </w:tcPr>
          <w:p>
            <w:r>
              <w:t>404; giỏ của chính A vẫn 200</w:t>
            </w:r>
          </w:p>
        </w:tc>
        <w:tc>
          <w:tcPr>
            <w:tcW w:type="dxa" w:w="1377"/>
          </w:tcPr>
          <w:p>
            <w:r>
              <w:t xml:space="preserve">kiểm thử chéo A/B; demo </w:t>
            </w:r>
            <w:r>
              <w:rPr>
                <w:rFonts w:ascii="Consolas" w:hAnsi="Consolas"/>
                <w:sz w:val="20"/>
              </w:rPr>
              <w:t>tv2</w:t>
            </w:r>
          </w:p>
        </w:tc>
        <w:tc>
          <w:tcPr>
            <w:tcW w:type="dxa" w:w="1377"/>
          </w:tcPr>
          <w:p>
            <w:r>
              <w:t>—</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Chưa ghim digest (mới cảnh báo); TLS nội bộ</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đòi nhận về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2066538"/>
            <wp:docPr id="9" name="Picture 9"/>
            <wp:cNvGraphicFramePr>
              <a:graphicFrameLocks noChangeAspect="1"/>
            </wp:cNvGraphicFramePr>
            <a:graphic>
              <a:graphicData uri="http://schemas.openxmlformats.org/drawingml/2006/picture">
                <pic:pic>
                  <pic:nvPicPr>
                    <pic:cNvPr id="0" name="f0102-red.png"/>
                    <pic:cNvPicPr/>
                  </pic:nvPicPr>
                  <pic:blipFill>
                    <a:blip r:embed="rId18"/>
                    <a:stretch>
                      <a:fillRect/>
                    </a:stretch>
                  </pic:blipFill>
                  <pic:spPr>
                    <a:xfrm>
                      <a:off x="0" y="0"/>
                      <a:ext cx="5400000" cy="2066538"/>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0" name="Picture 10"/>
            <wp:cNvGraphicFramePr>
              <a:graphicFrameLocks noChangeAspect="1"/>
            </wp:cNvGraphicFramePr>
            <a:graphic>
              <a:graphicData uri="http://schemas.openxmlformats.org/drawingml/2006/picture">
                <pic:pic>
                  <pic:nvPicPr>
                    <pic:cNvPr id="0" name="tv1.png"/>
                    <pic:cNvPicPr/>
                  </pic:nvPicPr>
                  <pic:blipFill>
                    <a:blip r:embed="rId19"/>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IDOR khi đọc giỏ hàng</w:t>
      </w:r>
    </w:p>
    <w:p>
      <w:pPr>
        <w:pStyle w:val="Heading3"/>
      </w:pPr>
      <w:r>
        <w:t>Trước khi sửa</w:t>
      </w:r>
    </w:p>
    <w:p>
      <w:pPr>
        <w:jc w:val="both"/>
      </w:pPr>
      <w:r>
        <w:t xml:space="preserve">Route </w:t>
      </w:r>
      <w:r>
        <w:rPr>
          <w:rFonts w:ascii="Consolas" w:hAnsi="Consolas"/>
          <w:sz w:val="20"/>
        </w:rPr>
        <w:t>routes/basket.ts</w:t>
      </w:r>
      <w:r>
        <w:t xml:space="preserve"> tìm giỏ chỉ theo mã trên URL: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basket = await BasketModel.findOne({ where: { id }, include: [{ model: ProductModel, as: 'Products' }] })</w:t>
            </w:r>
          </w:p>
        </w:tc>
      </w:tr>
    </w:tbl>
    <w:p/>
    <w:p>
      <w:pPr>
        <w:jc w:val="both"/>
      </w:pPr>
      <w:r>
        <w:t xml:space="preserve">Middleware chỉ xác nhận token hợp lệ chứ không kiểm tra quyền sở hữu, nên chỉ cần đổi </w:t>
      </w:r>
      <w:r>
        <w:rPr>
          <w:rFonts w:ascii="Consolas" w:hAnsi="Consolas"/>
          <w:sz w:val="20"/>
        </w:rPr>
        <w:t>/rest/basket/8</w:t>
      </w:r>
      <w:r>
        <w:t xml:space="preserve"> thành </w:t>
      </w:r>
      <w:r>
        <w:rPr>
          <w:rFonts w:ascii="Consolas" w:hAnsi="Consolas"/>
          <w:sz w:val="20"/>
        </w:rPr>
        <w:t>/rest/basket/9</w:t>
      </w:r>
      <w:r>
        <w:t xml:space="preserve"> là đọc được giỏ của người khác (CWE-639, OWASP A01:2021).</w:t>
      </w:r>
    </w:p>
    <w:p>
      <w:pPr>
        <w:jc w:val="both"/>
      </w:pPr>
      <w:r>
        <w:rPr>
          <w:b/>
        </w:rPr>
        <w:t>Phát hiện.</w:t>
      </w:r>
      <w:r>
        <w:t xml:space="preserve"> Lỗi được tìm ra bằng </w:t>
      </w:r>
      <w:r>
        <w:rPr>
          <w:b/>
        </w:rPr>
        <w:t>rà soát mã nguồn</w:t>
      </w:r>
      <w:r>
        <w:t xml:space="preserve"> tuyến xử lý giỏ hàng: truy vấn </w:t>
      </w:r>
      <w:r>
        <w:rPr>
          <w:rFonts w:ascii="Consolas" w:hAnsi="Consolas"/>
          <w:sz w:val="20"/>
        </w:rPr>
        <w:t>findOne({ where: { id } })</w:t>
      </w:r>
      <w:r>
        <w:t xml:space="preserve"> chỉ lọc theo mã giỏ lấy từ URL mà bỏ qua chủ sở hữu, trong khi middleware phía trước chỉ kiểm tra token có hợp lệ. Từ quan sát đó, giả thuyết IDOR được </w:t>
      </w:r>
      <w:r>
        <w:rPr>
          <w:b/>
        </w:rPr>
        <w:t>kiểm chứng bằng kiểm thử động chéo A/B</w:t>
      </w:r>
      <w:r>
        <w:t xml:space="preserve">: dựng hai tài khoản A và B, rồi dùng token của A gọi </w:t>
      </w:r>
      <w:r>
        <w:rPr>
          <w:rFonts w:ascii="Consolas" w:hAnsi="Consolas"/>
          <w:sz w:val="20"/>
        </w:rPr>
        <w:t>GET /rest/basket/{id_của_B}</w:t>
      </w:r>
      <w:r>
        <w:t xml:space="preserve">. Trên mã chưa sửa, máy chủ trả về đúng giỏ của B (Hình 11); kịch bản này được tự động hóa thành ca kiểm thử trong </w:t>
      </w:r>
      <w:r>
        <w:rPr>
          <w:rFonts w:ascii="Consolas" w:hAnsi="Consolas"/>
          <w:sz w:val="20"/>
        </w:rPr>
        <w:t>f01-f02.test.ts</w:t>
      </w:r>
      <w:r>
        <w:t xml:space="preserve"> (báo đỏ trước khi sửa). Đây là lỗi kiểm soát truy cập nên không công cụ phân tích tĩnh nào khẳng định được — bằng chứng đến từ việc đọc mã kết hợp phép thử truy cập chéo.</w:t>
      </w:r>
    </w:p>
    <w:p>
      <w:pPr>
        <w:pStyle w:val="Heading3"/>
      </w:pPr>
      <w:r>
        <w:t>Sau khi sửa</w:t>
      </w:r>
    </w:p>
    <w:p>
      <w:pPr>
        <w:jc w:val="both"/>
      </w:pPr>
      <w:r>
        <w:t>Giải pháp là ràng buộc chủ sở hữu ngay trong truy vấn, với danh tính lấy từ phiên do máy chủ cấp:</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user = security.authenticatedUsers.from(req)</w:t>
            </w:r>
            <w:r>
              <w:br/>
            </w:r>
            <w:r>
              <w:rPr>
                <w:rFonts w:ascii="Consolas" w:hAnsi="Consolas"/>
                <w:sz w:val="17"/>
              </w:rPr>
              <w:t>if (!user?.data?.id) return res.status(401).end()</w:t>
            </w:r>
            <w:r>
              <w:br/>
            </w:r>
            <w:r>
              <w:rPr>
                <w:rFonts w:ascii="Consolas" w:hAnsi="Consolas"/>
                <w:sz w:val="17"/>
              </w:rPr>
              <w:t>const id = Number(req.params.id)</w:t>
            </w:r>
            <w:r>
              <w:br/>
            </w:r>
            <w:r>
              <w:rPr>
                <w:rFonts w:ascii="Consolas" w:hAnsi="Consolas"/>
                <w:sz w:val="17"/>
              </w:rPr>
              <w:t>if (!Number.isSafeInteger(id) || id &lt;= 0) return res.status(400).end()</w:t>
            </w:r>
            <w:r>
              <w:br/>
            </w:r>
            <w:r>
              <w:rPr>
                <w:rFonts w:ascii="Consolas" w:hAnsi="Consolas"/>
                <w:sz w:val="17"/>
              </w:rPr>
              <w:t>const basket = await BasketModel.findOne({ where: { id, UserId: user.data.id }, include: [{ model: ProductModel, as: 'Products' }] })</w:t>
            </w:r>
            <w:r>
              <w:br/>
            </w:r>
            <w:r>
              <w:rPr>
                <w:rFonts w:ascii="Consolas" w:hAnsi="Consolas"/>
                <w:sz w:val="17"/>
              </w:rPr>
              <w:t>if (!basket) return res.status(404).end()</w:t>
            </w:r>
          </w:p>
        </w:tc>
      </w:tr>
    </w:tbl>
    <w:p/>
    <w:p>
      <w:pPr>
        <w:jc w:val="both"/>
      </w:pPr>
      <w:r>
        <w:t>Sau khi sửa, A đọc giỏ của B chỉ nhận 404, còn giỏ của chính A vẫn trả 200 (Hình 11).</w:t>
      </w:r>
    </w:p>
    <w:p>
      <w:pPr>
        <w:jc w:val="center"/>
      </w:pPr>
      <w:r>
        <w:drawing>
          <wp:inline xmlns:a="http://schemas.openxmlformats.org/drawingml/2006/main" xmlns:pic="http://schemas.openxmlformats.org/drawingml/2006/picture">
            <wp:extent cx="5040000" cy="1604842"/>
            <wp:docPr id="11" name="Picture 11"/>
            <wp:cNvGraphicFramePr>
              <a:graphicFrameLocks noChangeAspect="1"/>
            </wp:cNvGraphicFramePr>
            <a:graphic>
              <a:graphicData uri="http://schemas.openxmlformats.org/drawingml/2006/picture">
                <pic:pic>
                  <pic:nvPicPr>
                    <pic:cNvPr id="0" name="tv2.png"/>
                    <pic:cNvPicPr/>
                  </pic:nvPicPr>
                  <pic:blipFill>
                    <a:blip r:embed="rId20"/>
                    <a:stretch>
                      <a:fillRect/>
                    </a:stretch>
                  </pic:blipFill>
                  <pic:spPr>
                    <a:xfrm>
                      <a:off x="0" y="0"/>
                      <a:ext cx="5040000" cy="1604842"/>
                    </a:xfrm>
                    <a:prstGeom prst="rect"/>
                  </pic:spPr>
                </pic:pic>
              </a:graphicData>
            </a:graphic>
          </wp:inline>
        </w:drawing>
      </w:r>
    </w:p>
    <w:p>
      <w:pPr>
        <w:jc w:val="center"/>
      </w:pPr>
      <w:r>
        <w:rPr>
          <w:i/>
          <w:sz w:val="22"/>
        </w:rPr>
        <w:t xml:space="preserve">Hình 11. </w:t>
      </w:r>
      <w:r>
        <w:rPr>
          <w:i/>
          <w:sz w:val="22"/>
        </w:rPr>
        <w:t>Demo F02: trước khi sửa A đọc được giỏ của B, sau khi sửa nhận 404</w:t>
      </w:r>
    </w:p>
    <w:p>
      <w:pPr>
        <w:jc w:val="center"/>
      </w:pPr>
      <w:r>
        <w:drawing>
          <wp:inline xmlns:a="http://schemas.openxmlformats.org/drawingml/2006/main" xmlns:pic="http://schemas.openxmlformats.org/drawingml/2006/picture">
            <wp:extent cx="5400000" cy="2066538"/>
            <wp:docPr id="12" name="Picture 12"/>
            <wp:cNvGraphicFramePr>
              <a:graphicFrameLocks noChangeAspect="1"/>
            </wp:cNvGraphicFramePr>
            <a:graphic>
              <a:graphicData uri="http://schemas.openxmlformats.org/drawingml/2006/picture">
                <pic:pic>
                  <pic:nvPicPr>
                    <pic:cNvPr id="0" name="f0102-green.png"/>
                    <pic:cNvPicPr/>
                  </pic:nvPicPr>
                  <pic:blipFill>
                    <a:blip r:embed="rId21"/>
                    <a:stretch>
                      <a:fillRect/>
                    </a:stretch>
                  </pic:blipFill>
                  <pic:spPr>
                    <a:xfrm>
                      <a:off x="0" y="0"/>
                      <a:ext cx="5400000" cy="2066538"/>
                    </a:xfrm>
                    <a:prstGeom prst="rect"/>
                  </pic:spPr>
                </pic:pic>
              </a:graphicData>
            </a:graphic>
          </wp:inline>
        </w:drawing>
      </w:r>
    </w:p>
    <w:p>
      <w:pPr>
        <w:jc w:val="center"/>
      </w:pPr>
      <w:r>
        <w:rPr>
          <w:i/>
          <w:sz w:val="22"/>
        </w:rPr>
        <w:t xml:space="preserve">Hình 12. </w:t>
      </w:r>
      <w:r>
        <w:rPr>
          <w:i/>
          <w:sz w:val="22"/>
        </w:rPr>
        <w:t>Kiểm thử bảo mật F01/F02 sau khi sửa: toàn bộ ca đạt</w:t>
      </w:r>
    </w:p>
    <w:p>
      <w:pPr>
        <w:jc w:val="both"/>
      </w:pPr>
      <w:r>
        <w:rPr>
          <w:b/>
        </w:rPr>
        <w:t>Chính sách vi phạm:</w:t>
      </w:r>
      <w:r>
        <w:t xml:space="preserve"> GDPR Điều 5(1)(f), 25(2); Luật 91/2025/QH15 Điều 3 (nguyên tắc) và NĐ 356/2025/NĐ-CP; Luật ATTTM 2015 Điều 17 (không để lộ dữ liệu cá nhân cho bên thứ ba). </w:t>
      </w:r>
      <w:r>
        <w:rPr>
          <w:b/>
        </w:rPr>
        <w:t>Pha DevSecOps:</w:t>
      </w:r>
      <w:r>
        <w:t xml:space="preserve"> Design → Test. </w:t>
      </w:r>
      <w:r>
        <w:rPr>
          <w:b/>
        </w:rPr>
        <w:t>Kiểm soát (Security as Code):</w:t>
      </w:r>
      <w:r>
        <w:t xml:space="preserve"> kiểm thử phân quyền tự động trong pipeline, chống tái diễn.</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3" name="Picture 13"/>
            <wp:cNvGraphicFramePr>
              <a:graphicFrameLocks noChangeAspect="1"/>
            </wp:cNvGraphicFramePr>
            <a:graphic>
              <a:graphicData uri="http://schemas.openxmlformats.org/drawingml/2006/picture">
                <pic:pic>
                  <pic:nvPicPr>
                    <pic:cNvPr id="0" name="tv3.png"/>
                    <pic:cNvPicPr/>
                  </pic:nvPicPr>
                  <pic:blipFill>
                    <a:blip r:embed="rId22"/>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Chính sách vi phạm:</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 đúng tinh thần Policy as Code: có đầu vào "xấu" để chứng minh luật bắt được, và đầu vào "tốt" để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rất dễ bị qua mặt. Kiểm tra kiểu "có lệnh </w:t>
      </w:r>
      <w:r>
        <w:rPr>
          <w:rFonts w:ascii="Consolas" w:hAnsi="Consolas"/>
          <w:sz w:val="20"/>
        </w:rPr>
        <w:t>USER</w:t>
      </w:r>
      <w:r>
        <w:t xml:space="preserve">" sẽ bỏ sót Dockerfile nhiều stage, bởi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thì gần như vô nghĩa vì </w:t>
      </w:r>
      <w:r>
        <w:rPr>
          <w:rFonts w:ascii="Consolas" w:hAnsi="Consolas"/>
          <w:sz w:val="20"/>
        </w:rPr>
        <w:t>EXPOSE</w:t>
      </w:r>
      <w:r>
        <w:t xml:space="preserve"> chỉ mang tính tài liệu. Còn nhãn </w:t>
      </w:r>
      <w:r>
        <w:rPr>
          <w:rFonts w:ascii="Consolas" w:hAnsi="Consolas"/>
          <w:sz w:val="20"/>
        </w:rPr>
        <w:t>mfa="true"</w:t>
      </w:r>
      <w:r>
        <w:t xml:space="preserve"> thì ai cũng tự khai được mà chẳng phản ánh cấu hình thực tế.</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gắn nhãn nguồn gốc và dùng COPY sẽ giúp image </w:t>
      </w:r>
      <w:r>
        <w:rPr>
          <w:b/>
        </w:rPr>
        <w:t>truy vết được, tái lập được và bất biến</w:t>
      </w:r>
      <w:r>
        <w:t>.</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Cũng cần nói rõ rằng </w:t>
      </w:r>
      <w:r>
        <w:rPr>
          <w:b/>
        </w:rPr>
        <w:t>Conftest không tự sửa file</w:t>
      </w:r>
      <w:r>
        <w:t xml:space="preserve">: nó chỉ đóng vai trò </w:t>
      </w:r>
      <w:r>
        <w:rPr>
          <w:i/>
        </w:rPr>
        <w:t>cổng kiểm tra</w:t>
      </w:r>
      <w:r>
        <w:t>, đọc Dockerfile rồi trả PASS/FAIL kèm lý do, và chặn phát hành nếu còn vi phạm. Người sửa thực sự vẫn là người viết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Cần lưu ý rằng Conftest là </w:t>
      </w:r>
      <w:r>
        <w:rPr>
          <w:b/>
        </w:rPr>
        <w:t>bộ máy chính sách tổng quát và không có luật sẵn</w:t>
      </w:r>
      <w:r>
        <w:t xml:space="preserve">, nên tự nó không quét ra lỗi nào. Chính </w:t>
      </w:r>
      <w:r>
        <w:rPr>
          <w:b/>
        </w:rPr>
        <w:t>bộ luật Rego được viết riêng</w:t>
      </w:r>
      <w:r>
        <w:t xml:space="preserve"> mới là </w:t>
      </w:r>
      <w:r>
        <w:rPr>
          <w:i/>
        </w:rPr>
        <w:t>cách phát hiện</w:t>
      </w:r>
      <w:r>
        <w:t xml:space="preserve"> của F04. Bộ luật đi kèm </w:t>
      </w:r>
      <w:r>
        <w:rPr>
          <w:b/>
        </w:rPr>
        <w:t>13 unit test</w:t>
      </w:r>
      <w:r>
        <w:t xml:space="preserve"> (nâng từ 11, bổ sung hai ca </w:t>
      </w:r>
      <w:r>
        <w:rPr>
          <w:rFonts w:ascii="Consolas" w:hAnsi="Consolas"/>
          <w:sz w:val="20"/>
        </w:rPr>
        <w:t>USER 0:1000</w:t>
      </w:r>
      <w:r>
        <w:t xml:space="preserve"> và </w:t>
      </w:r>
      <w:r>
        <w:rPr>
          <w:rFonts w:ascii="Consolas" w:hAnsi="Consolas"/>
          <w:sz w:val="20"/>
        </w:rPr>
        <w:t>root:1000</w:t>
      </w:r>
      <w:r>
        <w:t xml:space="preserve"> — biến thể root kèm group từng lọt do chỉ so khớp nguyên chuỗi, nay tách UID trước dấu </w:t>
      </w:r>
      <w:r>
        <w:rPr>
          <w:rFonts w:ascii="Consolas" w:hAnsi="Consolas"/>
          <w:sz w:val="20"/>
        </w:rPr>
        <w:t>:</w:t>
      </w:r>
      <w:r>
        <w:t xml:space="preserve"> để bắt). Các ca này được thiết kế để luật bắt đúng những biến thể lách </w:t>
      </w:r>
      <w:r>
        <w:rPr>
          <w:i/>
        </w:rPr>
        <w:t>đã biết</w:t>
      </w:r>
      <w:r>
        <w:t xml:space="preserve"> và không báo nhầm cấu hình hợp lệ; tất cả đều đạt trong lần chạy </w:t>
      </w:r>
      <w:r>
        <w:rPr>
          <w:rFonts w:ascii="Consolas" w:hAnsi="Consolas"/>
          <w:sz w:val="20"/>
        </w:rPr>
        <w:t>conftest verify</w:t>
      </w:r>
      <w:r>
        <w:t xml:space="preserve"> (19/19). Đây cũng là cách Policy as Code vận hành: tổ chức tự mã hóa chính sách, kiểm chứng và chạy lại được trong CI.</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 (tách UID trước dấu </w:t>
            </w:r>
            <w:r>
              <w:rPr>
                <w:rFonts w:ascii="Consolas" w:hAnsi="Consolas"/>
                <w:sz w:val="20"/>
              </w:rPr>
              <w:t>:</w:t>
            </w:r>
            <w:r>
              <w:t>)</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4" name="Picture 14"/>
            <wp:cNvGraphicFramePr>
              <a:graphicFrameLocks noChangeAspect="1"/>
            </wp:cNvGraphicFramePr>
            <a:graphic>
              <a:graphicData uri="http://schemas.openxmlformats.org/drawingml/2006/picture">
                <pic:pic>
                  <pic:nvPicPr>
                    <pic:cNvPr id="0" name="tv4.png"/>
                    <pic:cNvPicPr/>
                  </pic:nvPicPr>
                  <pic:blipFill>
                    <a:blip r:embed="rId23"/>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Chính sách vi phạm:</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F02 IDOR),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Cần nói rõ phạm vi để không phóng đại: kho mã Juice Shop gốc </w:t>
      </w:r>
      <w:r>
        <w:rPr>
          <w:b/>
        </w:rPr>
        <w:t>đã có</w:t>
      </w:r>
      <w:r>
        <w:t xml:space="preserve"> CI/CD, CodeQL và tạo SBOM, nên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4">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một mẫu Policy-as-Code tham khảo;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bất kể group kèm theo,</w:t>
            </w:r>
            <w:r>
              <w:br/>
            </w:r>
            <w:r>
              <w:rPr>
                <w:rFonts w:ascii="Consolas" w:hAnsi="Consolas"/>
                <w:sz w:val="17"/>
              </w:rPr>
              <w:t># nên 'USER 0:1000' vẫn bị bắt là root (trước đây lọt vì chỉ so khớp nguyên chuỗi).</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A01:2021 / CWE-639</w:t>
            </w:r>
          </w:p>
        </w:tc>
        <w:tc>
          <w:tcPr>
            <w:tcW w:type="dxa" w:w="4819"/>
          </w:tcPr>
          <w:p>
            <w:r>
              <w:rPr>
                <w:i/>
              </w:rPr>
              <w:t>Broken Access Control</w:t>
            </w:r>
            <w:r>
              <w:t xml:space="preserve"> — kiểm soát truy cập bị phá vỡ (IDOR)</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