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pPr>
      <w:r>
        <w:rPr>
          <w:rFonts w:ascii="Times New Roman" w:hAnsi="Times New Roman"/>
          <w:b/>
          <w:sz w:val="22"/>
        </w:rPr>
        <w:t xml:space="preserve">Title of the paper: </w:t>
      </w:r>
      <w:r>
        <w:rPr>
          <w:rFonts w:ascii="Times New Roman" w:hAnsi="Times New Roman"/>
          <w:sz w:val="22"/>
        </w:rPr>
        <w:t>Can Deep Trade Agreements Absorb Geopolitical Shocks? Global Evidence from Intermediate-Goods Supply Chains</w:t>
      </w:r>
    </w:p>
    <w:p>
      <w:pPr>
        <w:spacing w:line="276" w:lineRule="auto" w:before="0" w:after="40"/>
      </w:pPr>
      <w:r>
        <w:rPr>
          <w:rFonts w:ascii="Times New Roman" w:hAnsi="Times New Roman"/>
          <w:b/>
          <w:sz w:val="22"/>
        </w:rPr>
        <w:t xml:space="preserve">Author: </w:t>
      </w:r>
      <w:r>
        <w:rPr>
          <w:rFonts w:ascii="Times New Roman" w:hAnsi="Times New Roman"/>
          <w:sz w:val="22"/>
        </w:rPr>
        <w:t>Vu Ha Vy</w:t>
      </w:r>
    </w:p>
    <w:p>
      <w:pPr>
        <w:spacing w:line="276" w:lineRule="auto" w:before="0" w:after="40"/>
      </w:pPr>
      <w:r>
        <w:rPr>
          <w:rFonts w:ascii="Times New Roman" w:hAnsi="Times New Roman"/>
          <w:b/>
          <w:sz w:val="22"/>
        </w:rPr>
        <w:t xml:space="preserve">Affiliation: </w:t>
      </w:r>
      <w:r>
        <w:rPr>
          <w:rFonts w:ascii="Times New Roman" w:hAnsi="Times New Roman"/>
          <w:sz w:val="22"/>
        </w:rPr>
        <w:t>Faculty of International Economics, Foreign Trade University, Hanoi, Vietnam</w:t>
      </w:r>
    </w:p>
    <w:p>
      <w:pPr>
        <w:spacing w:line="276" w:lineRule="auto" w:before="0" w:after="40"/>
      </w:pPr>
      <w:r>
        <w:rPr>
          <w:rFonts w:ascii="Times New Roman" w:hAnsi="Times New Roman"/>
          <w:b/>
          <w:sz w:val="22"/>
        </w:rPr>
        <w:t xml:space="preserve">Position: </w:t>
      </w:r>
      <w:r>
        <w:rPr>
          <w:rFonts w:ascii="Times New Roman" w:hAnsi="Times New Roman"/>
          <w:sz w:val="22"/>
        </w:rPr>
        <w:t>Undergraduate Student</w:t>
      </w:r>
    </w:p>
    <w:p>
      <w:pPr>
        <w:spacing w:line="276" w:lineRule="auto" w:before="0" w:after="40"/>
      </w:pPr>
      <w:r>
        <w:rPr>
          <w:rFonts w:ascii="Times New Roman" w:hAnsi="Times New Roman"/>
          <w:b/>
          <w:sz w:val="22"/>
        </w:rPr>
        <w:t xml:space="preserve">Email: </w:t>
      </w:r>
      <w:r>
        <w:rPr>
          <w:rFonts w:ascii="Times New Roman" w:hAnsi="Times New Roman"/>
          <w:sz w:val="22"/>
        </w:rPr>
        <w:t>k62.2312450141@ftu.edu.vn</w:t>
      </w:r>
    </w:p>
    <w:p>
      <w:pPr>
        <w:spacing w:line="276" w:lineRule="auto" w:before="0" w:after="40"/>
      </w:pPr>
      <w:r>
        <w:rPr>
          <w:rFonts w:ascii="Times New Roman" w:hAnsi="Times New Roman"/>
          <w:b/>
          <w:sz w:val="22"/>
        </w:rPr>
        <w:t xml:space="preserve">Telephone: </w:t>
      </w:r>
      <w:r>
        <w:rPr>
          <w:rFonts w:ascii="Times New Roman" w:hAnsi="Times New Roman"/>
          <w:sz w:val="22"/>
        </w:rPr>
        <w:t>+84 934 441 231</w:t>
      </w:r>
    </w:p>
    <w:p>
      <w:pPr>
        <w:spacing w:line="276" w:lineRule="auto" w:before="0" w:after="40"/>
      </w:pPr>
      <w:r>
        <w:rPr>
          <w:rFonts w:ascii="Times New Roman" w:hAnsi="Times New Roman"/>
          <w:b/>
          <w:sz w:val="22"/>
        </w:rPr>
        <w:t xml:space="preserve">Proposed track: </w:t>
      </w:r>
      <w:r>
        <w:rPr>
          <w:rFonts w:ascii="Times New Roman" w:hAnsi="Times New Roman"/>
          <w:sz w:val="22"/>
        </w:rPr>
        <w:t>Global Supply Chain Management under Geopolitical Risks and Policy Uncertainties</w:t>
      </w:r>
    </w:p>
    <w:p>
      <w:pPr>
        <w:spacing w:line="276" w:lineRule="auto" w:before="0" w:after="40"/>
      </w:pPr>
      <w:r>
        <w:rPr>
          <w:rFonts w:ascii="Times New Roman" w:hAnsi="Times New Roman"/>
          <w:b/>
          <w:sz w:val="22"/>
        </w:rPr>
        <w:t xml:space="preserve">Submission category: </w:t>
      </w:r>
      <w:r>
        <w:rPr>
          <w:rFonts w:ascii="Times New Roman" w:hAnsi="Times New Roman"/>
          <w:sz w:val="22"/>
        </w:rPr>
        <w:t>Full Paper / Abstract Submission (AIID 2026)</w:t>
      </w:r>
    </w:p>
    <w:p>
      <w:pPr>
        <w:spacing w:after="160"/>
      </w:pPr>
    </w:p>
    <w:p>
      <w:pPr>
        <w:spacing w:before="120" w:after="80"/>
      </w:pPr>
      <w:r>
        <w:rPr>
          <w:rFonts w:ascii="Times New Roman" w:hAnsi="Times New Roman"/>
          <w:b/>
          <w:sz w:val="24"/>
        </w:rPr>
        <w:t>Abstract</w:t>
      </w:r>
    </w:p>
    <w:p>
      <w:pPr>
        <w:spacing w:line="360" w:lineRule="auto" w:after="120"/>
        <w:ind w:firstLine="720"/>
        <w:jc w:val="both"/>
      </w:pPr>
      <w:r>
        <w:rPr>
          <w:rFonts w:ascii="Times New Roman" w:hAnsi="Times New Roman"/>
          <w:sz w:val="24"/>
        </w:rPr>
        <w:t>Does institutional depth in preferential trade agreements insulate cross-border production networks against geopolitical friction? Analyzing a global panel of intermediate-goods trade from 2007 to 2023, this study investigates how agreement depth conditions supply-chain resilience under geopolitical risk. Using a structural gravity framework alongside duration models of trade-link survival, we uncover a sharp divergence across margins that challenges the conventional buffering view. First, contrary to the premise of institutional protection, trade between preferential agreement partners contracts more severely than trade between non-partners when global geopolitical risk rises. Second, at the extensive margin, deeper agreements accelerate rather than prevent relationship termination. Rather than an indiscriminate collapse, this attrition reflects selective pruning: elevated uncertainty leads suppliers to shed small-scale, marginal linkages burdened by fixed administrative compliance and restrictive rules-of-origin requirements. Third, institutional depth provides meaningful buffering only when agreements geographically align with bilateral, pair-specific geopolitical exposure, but fails to mitigate common global shocks. These disruptions are concentrated in contract-intensive manufacturing but leave post-exit recovery horizons intact. The findings demonstrate that deep integration does not inherently confer supply-chain resilience, offering critical caveats for contemporary 'friend-shoring' policies.</w:t>
      </w:r>
    </w:p>
    <w:p>
      <w:pPr>
        <w:spacing w:line="360" w:lineRule="auto" w:after="200"/>
      </w:pPr>
      <w:r>
        <w:rPr>
          <w:rFonts w:ascii="Times New Roman" w:hAnsi="Times New Roman"/>
          <w:b/>
          <w:sz w:val="24"/>
        </w:rPr>
        <w:t xml:space="preserve">Keywords: </w:t>
      </w:r>
      <w:r>
        <w:rPr>
          <w:rFonts w:ascii="Times New Roman" w:hAnsi="Times New Roman"/>
          <w:i/>
          <w:sz w:val="24"/>
        </w:rPr>
        <w:t>Deep trade agreements; Geopolitical risk; Intermediate goods; Global value chains; Trade-link survival; Gravity model</w:t>
      </w:r>
    </w:p>
    <w:p>
      <w:pPr>
        <w:spacing w:line="360" w:lineRule="auto" w:after="400"/>
      </w:pPr>
      <w:r>
        <w:rPr>
          <w:rFonts w:ascii="Times New Roman" w:hAnsi="Times New Roman"/>
          <w:b/>
          <w:sz w:val="24"/>
        </w:rPr>
        <w:t xml:space="preserve">JEL Classification: </w:t>
      </w:r>
      <w:r>
        <w:rPr>
          <w:rFonts w:ascii="Times New Roman" w:hAnsi="Times New Roman"/>
          <w:sz w:val="24"/>
        </w:rPr>
        <w:t>F13, F14, F15, F51</w:t>
      </w:r>
    </w:p>
    <w:p>
      <w:pPr>
        <w:spacing w:before="160" w:after="80"/>
      </w:pPr>
      <w:r>
        <w:rPr>
          <w:rFonts w:ascii="Times New Roman" w:hAnsi="Times New Roman"/>
          <w:b/>
          <w:sz w:val="24"/>
        </w:rPr>
        <w:t>Tóm tắt</w:t>
      </w:r>
    </w:p>
    <w:p>
      <w:pPr>
        <w:spacing w:line="360" w:lineRule="auto" w:after="120"/>
        <w:ind w:firstLine="720"/>
        <w:jc w:val="both"/>
      </w:pPr>
      <w:r>
        <w:rPr>
          <w:rFonts w:ascii="Times New Roman" w:hAnsi="Times New Roman"/>
          <w:sz w:val="24"/>
        </w:rPr>
        <w:t>Liệu các cam kết thể chế sâu trong hiệp định thương mại tự do có bảo vệ được mạng lưới sản xuất quốc tế trước các biến động địa chính trị? Dựa trên bộ dữ liệu bảng thương mại hàng hóa trung gian toàn cầu giai đoạn 2007–2023, nghiên cứu này đánh giá vai trò điều tiết của độ sâu hiệp định đối với khả năng chống chịu chuỗi cung ứng trước rủi ro địa chính trị. Bằng việc kết hợp mô hình trọng lực cấu trúc và mô hình thời lượng tồn tại liên kết thương mại, nghiên cứu phát hiện sự phân kỳ rõ rệt giữa hai biên độ thương mại, thách thức quan điểm truyền thống về hiệu ứng đệm đỡ của thể chế. Thứ nhất, trái với kỳ vọng về sự bảo vệ thể chế, thương mại giữa các đối tác có hiệp định co hẹp mạnh hơn so với các cặp không có hiệp định khi rủi ro địa chính trị toàn cầu gia tăng. Thứ hai, ở biên độ rộng, các hiệp định càng sâu lại càng đẩy nhanh sự đứt gãy của các mối quan hệ thương mại sẵn có. Hiện tượng này phản ánh cơ chế tinh giản có chọn lọc: rủi ro gia tăng thúc đẩy doanh nghiệp cắt giảm các liên kết biên quy mô nhỏ vốn chịu gánh nặng chi phí tuân thủ hành chính và quy tắc xuất xứ khắt khe. Thứ ba, độ sâu thể chế chỉ phát huy vai trò đệm đỡ khi hiệp định tương thích về mặt địa lý với rủi ro song phương trực tiếp, chứ không thể hóa giải các cú sốc toàn cầu. Các co hẹp này tập trung chủ yếu ở các ngành chế tạo thâm dụng hợp đồng nhưng không gây ra hiện tượng đứt gãy vĩnh viễn. Kết quả nghiên cứu khẳng định hội nhập sâu không mặc nhiên mang lại năng lực chống chịu cho chuỗi cung ứng, đưa ra hàm ý quan trọng cho các chiến lược 'friend-shoring' hiện nay.</w:t>
      </w:r>
    </w:p>
    <w:p>
      <w:pPr>
        <w:spacing w:line="360" w:lineRule="auto" w:after="200"/>
      </w:pPr>
      <w:r>
        <w:rPr>
          <w:rFonts w:ascii="Times New Roman" w:hAnsi="Times New Roman"/>
          <w:b/>
          <w:sz w:val="24"/>
        </w:rPr>
        <w:t xml:space="preserve">Từ khóa: </w:t>
      </w:r>
      <w:r>
        <w:rPr>
          <w:rFonts w:ascii="Times New Roman" w:hAnsi="Times New Roman"/>
          <w:i/>
          <w:sz w:val="24"/>
        </w:rPr>
        <w:t>Hiệp định thương mại sâu; Rủi ro địa chính trị; Hàng hóa trung gian; Chuỗi giá trị toàn cầu; Tồn tại liên kết thương mại; Mô hình trọng lực</w:t>
      </w:r>
    </w:p>
    <w:p>
      <w:pPr>
        <w:spacing w:line="360" w:lineRule="auto" w:after="320"/>
      </w:pPr>
      <w:r>
        <w:rPr>
          <w:rFonts w:ascii="Times New Roman" w:hAnsi="Times New Roman"/>
          <w:b/>
          <w:sz w:val="24"/>
        </w:rPr>
        <w:t xml:space="preserve">Mã phân loại JEL: </w:t>
      </w:r>
      <w:r>
        <w:rPr>
          <w:rFonts w:ascii="Times New Roman" w:hAnsi="Times New Roman"/>
          <w:sz w:val="24"/>
        </w:rPr>
        <w:t>F13, F14, F15, F51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