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3D277" w14:textId="3D2BD86C" w:rsidR="00956CF7" w:rsidRDefault="00956CF7" w:rsidP="00956CF7">
      <w:pPr>
        <w:ind w:firstLine="0"/>
        <w:rPr>
          <w:b/>
          <w:bCs/>
        </w:rPr>
      </w:pPr>
      <w:r>
        <w:rPr>
          <w:b/>
          <w:bCs/>
        </w:rPr>
        <w:t>T</w:t>
      </w:r>
      <w:r w:rsidRPr="00956CF7">
        <w:rPr>
          <w:b/>
          <w:bCs/>
        </w:rPr>
        <w:t>itle of the paper</w:t>
      </w:r>
      <w:r>
        <w:rPr>
          <w:b/>
          <w:bCs/>
        </w:rPr>
        <w:t xml:space="preserve">: </w:t>
      </w:r>
      <w:r w:rsidRPr="00AF4D61">
        <w:t>Can Deep Trade Agreements Absorb Geopolitical Shocks? Global Evidence from Intermediate-Goods Supply Chains</w:t>
      </w:r>
    </w:p>
    <w:p w14:paraId="45791481" w14:textId="296B4FDE" w:rsidR="00956CF7" w:rsidRDefault="00956CF7" w:rsidP="00956CF7">
      <w:pPr>
        <w:ind w:firstLine="0"/>
        <w:rPr>
          <w:b/>
          <w:bCs/>
        </w:rPr>
      </w:pPr>
      <w:r w:rsidRPr="00956CF7">
        <w:rPr>
          <w:b/>
          <w:bCs/>
        </w:rPr>
        <w:t xml:space="preserve">Author: </w:t>
      </w:r>
      <w:r w:rsidRPr="00AF4D61">
        <w:t>Vu Ha Vy</w:t>
      </w:r>
    </w:p>
    <w:p w14:paraId="681C4A2C" w14:textId="77777777" w:rsidR="00956CF7" w:rsidRDefault="00956CF7" w:rsidP="00956CF7">
      <w:pPr>
        <w:ind w:firstLine="0"/>
        <w:rPr>
          <w:b/>
          <w:bCs/>
        </w:rPr>
      </w:pPr>
      <w:r w:rsidRPr="00956CF7">
        <w:rPr>
          <w:b/>
          <w:bCs/>
        </w:rPr>
        <w:t xml:space="preserve">Affiliation: </w:t>
      </w:r>
      <w:r w:rsidRPr="00AF4D61">
        <w:t>Faculty of International Economics, Foreign Trade University, Hanoi, Vietnam</w:t>
      </w:r>
    </w:p>
    <w:p w14:paraId="500E8B63" w14:textId="21B10041" w:rsidR="00956CF7" w:rsidRPr="00AF4D61" w:rsidRDefault="00956CF7" w:rsidP="00956CF7">
      <w:pPr>
        <w:ind w:firstLine="0"/>
      </w:pPr>
      <w:r w:rsidRPr="00956CF7">
        <w:rPr>
          <w:b/>
          <w:bCs/>
        </w:rPr>
        <w:t xml:space="preserve">Position: </w:t>
      </w:r>
      <w:r w:rsidRPr="00AF4D61">
        <w:t xml:space="preserve">Undergraduate Student </w:t>
      </w:r>
    </w:p>
    <w:p w14:paraId="4F73E9EE" w14:textId="66DA848F" w:rsidR="00956CF7" w:rsidRDefault="00956CF7" w:rsidP="00956CF7">
      <w:pPr>
        <w:ind w:firstLine="0"/>
        <w:rPr>
          <w:b/>
          <w:bCs/>
        </w:rPr>
      </w:pPr>
      <w:r w:rsidRPr="00956CF7">
        <w:rPr>
          <w:b/>
          <w:bCs/>
        </w:rPr>
        <w:t xml:space="preserve">Email: </w:t>
      </w:r>
      <w:hyperlink r:id="rId4" w:history="1">
        <w:r w:rsidRPr="00AF4D61">
          <w:rPr>
            <w:rStyle w:val="Hyperlink"/>
          </w:rPr>
          <w:t>k62.2312450141@ftu.edu.vn</w:t>
        </w:r>
      </w:hyperlink>
    </w:p>
    <w:p w14:paraId="262A5D7A" w14:textId="77777777" w:rsidR="00956CF7" w:rsidRDefault="00956CF7" w:rsidP="00956CF7">
      <w:pPr>
        <w:ind w:firstLine="0"/>
        <w:rPr>
          <w:b/>
          <w:bCs/>
        </w:rPr>
      </w:pPr>
      <w:r w:rsidRPr="00956CF7">
        <w:rPr>
          <w:b/>
          <w:bCs/>
        </w:rPr>
        <w:t xml:space="preserve">Telephone: </w:t>
      </w:r>
      <w:r w:rsidRPr="00AF4D61">
        <w:t>+84 934 441 231</w:t>
      </w:r>
    </w:p>
    <w:p w14:paraId="1EAB1CA1" w14:textId="77777777" w:rsidR="00956CF7" w:rsidRDefault="00956CF7" w:rsidP="00956CF7">
      <w:pPr>
        <w:ind w:firstLine="0"/>
        <w:rPr>
          <w:b/>
          <w:bCs/>
        </w:rPr>
      </w:pPr>
      <w:r w:rsidRPr="00956CF7">
        <w:rPr>
          <w:b/>
          <w:bCs/>
        </w:rPr>
        <w:t xml:space="preserve">Proposed track: </w:t>
      </w:r>
      <w:r w:rsidRPr="00AF4D61">
        <w:t>Global Supply Chain Management under Geopolitical Risks and Policy Uncertainties</w:t>
      </w:r>
    </w:p>
    <w:p w14:paraId="0F6ED197" w14:textId="1E638193" w:rsidR="00956CF7" w:rsidRDefault="00956CF7" w:rsidP="00956CF7">
      <w:pPr>
        <w:ind w:firstLine="0"/>
        <w:rPr>
          <w:b/>
          <w:bCs/>
        </w:rPr>
      </w:pPr>
      <w:r w:rsidRPr="00956CF7">
        <w:rPr>
          <w:b/>
          <w:bCs/>
        </w:rPr>
        <w:t xml:space="preserve">Submission category: </w:t>
      </w:r>
      <w:r w:rsidRPr="00AF4D61">
        <w:t>Abstract Submission</w:t>
      </w:r>
    </w:p>
    <w:p w14:paraId="4F7F1B99" w14:textId="17A1682A" w:rsidR="00956CF7" w:rsidRDefault="00956CF7" w:rsidP="00956CF7">
      <w:pPr>
        <w:ind w:firstLine="0"/>
        <w:rPr>
          <w:b/>
          <w:bCs/>
        </w:rPr>
      </w:pPr>
      <w:r w:rsidRPr="00956CF7">
        <w:rPr>
          <w:b/>
          <w:bCs/>
        </w:rPr>
        <w:t xml:space="preserve">Abstract word count: </w:t>
      </w:r>
      <w:r w:rsidRPr="00AF4D61">
        <w:t>2</w:t>
      </w:r>
      <w:r w:rsidR="00AF4D61" w:rsidRPr="00AF4D61">
        <w:t>31</w:t>
      </w:r>
      <w:r w:rsidRPr="00AF4D61">
        <w:t xml:space="preserve"> words</w:t>
      </w:r>
      <w:r>
        <w:rPr>
          <w:b/>
          <w:bCs/>
        </w:rPr>
        <w:br w:type="page"/>
      </w:r>
    </w:p>
    <w:p w14:paraId="00AF9BB0" w14:textId="77777777" w:rsidR="00D609DD" w:rsidRPr="00D609DD" w:rsidRDefault="00D609DD" w:rsidP="00D609DD">
      <w:pPr>
        <w:pStyle w:val="Heading1"/>
        <w:spacing w:before="0" w:after="0"/>
        <w:rPr>
          <w:rFonts w:ascii="Times New Roman" w:hAnsi="Times New Roman" w:cs="Times New Roman"/>
          <w:b/>
          <w:bCs/>
          <w:color w:val="auto"/>
          <w:sz w:val="24"/>
          <w:szCs w:val="24"/>
        </w:rPr>
      </w:pPr>
      <w:r w:rsidRPr="00D609DD">
        <w:rPr>
          <w:rFonts w:ascii="Times New Roman" w:hAnsi="Times New Roman" w:cs="Times New Roman"/>
          <w:b/>
          <w:bCs/>
          <w:color w:val="auto"/>
          <w:sz w:val="24"/>
          <w:szCs w:val="24"/>
        </w:rPr>
        <w:lastRenderedPageBreak/>
        <w:t>Abstract</w:t>
      </w:r>
    </w:p>
    <w:p w14:paraId="6BF47239" w14:textId="697F31B0" w:rsidR="00D609DD" w:rsidRDefault="00D609DD" w:rsidP="00D609DD">
      <w:r w:rsidRPr="00800B58">
        <w:t xml:space="preserve">This study examines whether trade agreements strengthen the resilience of intermediate-goods supply chains under geopolitical risk. It constructs a global exporter–importer–HS2–year panel covering 160 economies and customs territories from 2007 to 2023, with 16.75 million observations. Trade values are estimated using Poisson pseudo-maximum likelihood with directed pair–product, exporter–year, importer–year, and product–year fixed effects. Linear probability models separately evaluate the survival of established trade links and their post-exit recovery. The results do not support a uniform institutional-buffering effect. Following a one-standard-deviation increase in global geopolitical risk, FTA-covered intermediate-goods trade displays a 2.38% more negative response than uncovered trade, whereas legally enforceable agreement depth has no statistically detectable global average association with trade values. In separate sector-specific specifications, negative FTA and depth interactions are concentrated in textiles and footwear, transport equipment, machinery and electronics, </w:t>
      </w:r>
      <w:r w:rsidR="00AF4D61" w:rsidRPr="00AF4D61">
        <w:t>precision and other manufactures</w:t>
      </w:r>
      <w:r w:rsidRPr="00800B58">
        <w:t>, and plastics, rubber, and leather. The most consistent result concerns link continuity: ten additional legally enforceable policy areas are associated with a 0.52-percentage-point lower probability that an existing trade link survives under higher geopolitical risk. This relationship remains negative across alternative shocks, established-link samples, leave-one-year-out estimations, and country-specific risk measures. Post-exit recovery results are mostly statistically indistinguishable from zero. The findings indicate that the relationship between institutional depth and geopolitical risk differs across trade values and link continuity. Deep integration therefore does not automatically translate into supply-chain resilience</w:t>
      </w:r>
      <w:r w:rsidRPr="00FB5A5C">
        <w:t>.</w:t>
      </w:r>
    </w:p>
    <w:p w14:paraId="784F7C57" w14:textId="111A482E" w:rsidR="00274784" w:rsidRDefault="00D609DD" w:rsidP="00956CF7">
      <w:r w:rsidRPr="00FB5A5C">
        <w:rPr>
          <w:b/>
          <w:bCs/>
        </w:rPr>
        <w:t>Keywords:</w:t>
      </w:r>
      <w:r w:rsidRPr="00FB5A5C">
        <w:t xml:space="preserve"> </w:t>
      </w:r>
      <w:r w:rsidRPr="00800B58">
        <w:t>Deep trade agreements; geopolitical risk; intermediate goods; supply-chain resilience; trade-link survival</w:t>
      </w:r>
    </w:p>
    <w:sectPr w:rsidR="002747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9DD"/>
    <w:rsid w:val="000B4171"/>
    <w:rsid w:val="0014296D"/>
    <w:rsid w:val="001754B6"/>
    <w:rsid w:val="00274784"/>
    <w:rsid w:val="003A0C3F"/>
    <w:rsid w:val="003A25E6"/>
    <w:rsid w:val="004E237A"/>
    <w:rsid w:val="007F5EB2"/>
    <w:rsid w:val="00956CF7"/>
    <w:rsid w:val="00AF4D61"/>
    <w:rsid w:val="00C341F4"/>
    <w:rsid w:val="00C73FE7"/>
    <w:rsid w:val="00D609DD"/>
    <w:rsid w:val="00F14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DE2C2"/>
  <w15:chartTrackingRefBased/>
  <w15:docId w15:val="{FF95310B-66A2-467C-B598-DDB2C499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9DD"/>
    <w:pPr>
      <w:spacing w:after="0" w:line="480" w:lineRule="auto"/>
      <w:ind w:firstLine="720"/>
      <w:jc w:val="both"/>
    </w:pPr>
    <w:rPr>
      <w:rFonts w:eastAsia="Times New Roman" w:cs="Times New Roman"/>
      <w:kern w:val="0"/>
      <w:sz w:val="24"/>
      <w:szCs w:val="24"/>
      <w14:ligatures w14:val="none"/>
    </w:rPr>
  </w:style>
  <w:style w:type="paragraph" w:styleId="Heading1">
    <w:name w:val="heading 1"/>
    <w:basedOn w:val="Normal"/>
    <w:next w:val="Normal"/>
    <w:link w:val="Heading1Char"/>
    <w:uiPriority w:val="9"/>
    <w:qFormat/>
    <w:rsid w:val="00D609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09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09D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09D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609D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609D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09D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09D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09D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9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09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09D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09D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609D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609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09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09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09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0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9DD"/>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9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09DD"/>
    <w:pPr>
      <w:spacing w:before="160"/>
      <w:jc w:val="center"/>
    </w:pPr>
    <w:rPr>
      <w:i/>
      <w:iCs/>
      <w:color w:val="404040" w:themeColor="text1" w:themeTint="BF"/>
    </w:rPr>
  </w:style>
  <w:style w:type="character" w:customStyle="1" w:styleId="QuoteChar">
    <w:name w:val="Quote Char"/>
    <w:basedOn w:val="DefaultParagraphFont"/>
    <w:link w:val="Quote"/>
    <w:uiPriority w:val="29"/>
    <w:rsid w:val="00D609DD"/>
    <w:rPr>
      <w:i/>
      <w:iCs/>
      <w:color w:val="404040" w:themeColor="text1" w:themeTint="BF"/>
    </w:rPr>
  </w:style>
  <w:style w:type="paragraph" w:styleId="ListParagraph">
    <w:name w:val="List Paragraph"/>
    <w:basedOn w:val="Normal"/>
    <w:uiPriority w:val="34"/>
    <w:qFormat/>
    <w:rsid w:val="00D609DD"/>
    <w:pPr>
      <w:ind w:left="720"/>
      <w:contextualSpacing/>
    </w:pPr>
  </w:style>
  <w:style w:type="character" w:styleId="IntenseEmphasis">
    <w:name w:val="Intense Emphasis"/>
    <w:basedOn w:val="DefaultParagraphFont"/>
    <w:uiPriority w:val="21"/>
    <w:qFormat/>
    <w:rsid w:val="00D609DD"/>
    <w:rPr>
      <w:i/>
      <w:iCs/>
      <w:color w:val="2F5496" w:themeColor="accent1" w:themeShade="BF"/>
    </w:rPr>
  </w:style>
  <w:style w:type="paragraph" w:styleId="IntenseQuote">
    <w:name w:val="Intense Quote"/>
    <w:basedOn w:val="Normal"/>
    <w:next w:val="Normal"/>
    <w:link w:val="IntenseQuoteChar"/>
    <w:uiPriority w:val="30"/>
    <w:qFormat/>
    <w:rsid w:val="00D60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09DD"/>
    <w:rPr>
      <w:i/>
      <w:iCs/>
      <w:color w:val="2F5496" w:themeColor="accent1" w:themeShade="BF"/>
    </w:rPr>
  </w:style>
  <w:style w:type="character" w:styleId="IntenseReference">
    <w:name w:val="Intense Reference"/>
    <w:basedOn w:val="DefaultParagraphFont"/>
    <w:uiPriority w:val="32"/>
    <w:qFormat/>
    <w:rsid w:val="00D609DD"/>
    <w:rPr>
      <w:b/>
      <w:bCs/>
      <w:smallCaps/>
      <w:color w:val="2F5496" w:themeColor="accent1" w:themeShade="BF"/>
      <w:spacing w:val="5"/>
    </w:rPr>
  </w:style>
  <w:style w:type="character" w:styleId="Hyperlink">
    <w:name w:val="Hyperlink"/>
    <w:basedOn w:val="DefaultParagraphFont"/>
    <w:uiPriority w:val="99"/>
    <w:unhideWhenUsed/>
    <w:rsid w:val="00956CF7"/>
    <w:rPr>
      <w:color w:val="0563C1" w:themeColor="hyperlink"/>
      <w:u w:val="single"/>
    </w:rPr>
  </w:style>
  <w:style w:type="character" w:styleId="UnresolvedMention">
    <w:name w:val="Unresolved Mention"/>
    <w:basedOn w:val="DefaultParagraphFont"/>
    <w:uiPriority w:val="99"/>
    <w:semiHidden/>
    <w:unhideWhenUsed/>
    <w:rsid w:val="00956C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62.2312450141@ft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378</Words>
  <Characters>2159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2312450141-Vũ Hà Vy</dc:creator>
  <cp:keywords/>
  <dc:description/>
  <cp:lastModifiedBy>2312450141-Vũ Hà Vy</cp:lastModifiedBy>
  <cp:revision>2</cp:revision>
  <dcterms:created xsi:type="dcterms:W3CDTF">2026-07-30T16:10:00Z</dcterms:created>
  <dcterms:modified xsi:type="dcterms:W3CDTF">2026-07-30T16:35:00Z</dcterms:modified>
</cp:coreProperties>
</file>